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03B1" w14:textId="77777777" w:rsidR="00A27798" w:rsidRPr="00A47E9C" w:rsidRDefault="00A27798" w:rsidP="00E91E78">
      <w:pPr>
        <w:jc w:val="center"/>
        <w:rPr>
          <w:rFonts w:ascii="Arial" w:hAnsi="Arial" w:cs="Arial"/>
          <w:b/>
          <w:i/>
          <w:smallCaps/>
          <w:strike/>
          <w:sz w:val="16"/>
          <w:szCs w:val="16"/>
        </w:rPr>
      </w:pPr>
    </w:p>
    <w:p w14:paraId="0CD25F77" w14:textId="77777777" w:rsidR="007A203C" w:rsidRDefault="007A203C" w:rsidP="00E91E78">
      <w:pPr>
        <w:jc w:val="center"/>
        <w:rPr>
          <w:rFonts w:ascii="Arial" w:hAnsi="Arial" w:cs="Arial"/>
          <w:b/>
          <w:i/>
          <w:smallCaps/>
          <w:sz w:val="28"/>
          <w:szCs w:val="28"/>
        </w:rPr>
      </w:pPr>
    </w:p>
    <w:p w14:paraId="7DA51A9D" w14:textId="77777777" w:rsidR="00E91E78" w:rsidRPr="00C64BCE" w:rsidRDefault="004C63E6" w:rsidP="00E91E78">
      <w:pPr>
        <w:jc w:val="center"/>
        <w:rPr>
          <w:rFonts w:ascii="Arial" w:hAnsi="Arial" w:cs="Arial"/>
          <w:b/>
          <w:i/>
          <w:smallCaps/>
          <w:sz w:val="28"/>
          <w:szCs w:val="28"/>
        </w:rPr>
      </w:pPr>
      <w:r>
        <w:rPr>
          <w:rFonts w:ascii="Arial" w:hAnsi="Arial" w:cs="Arial"/>
          <w:b/>
          <w:i/>
          <w:smallCaps/>
          <w:sz w:val="28"/>
          <w:szCs w:val="28"/>
        </w:rPr>
        <w:t>Human Resources Compliance Calendar:  2023</w:t>
      </w:r>
    </w:p>
    <w:p w14:paraId="41FAF6B1" w14:textId="77777777" w:rsidR="00A91DC1" w:rsidRDefault="00A91DC1" w:rsidP="00FD290F">
      <w:pPr>
        <w:rPr>
          <w:rFonts w:ascii="Helvetica" w:hAnsi="Helvetica" w:cs="Helvetica"/>
          <w:smallCaps/>
          <w:sz w:val="20"/>
          <w:szCs w:val="20"/>
        </w:rPr>
      </w:pPr>
    </w:p>
    <w:p w14:paraId="53D6AF4E" w14:textId="77777777" w:rsidR="00651F4B" w:rsidRDefault="00651F4B" w:rsidP="00FD290F">
      <w:pPr>
        <w:rPr>
          <w:rFonts w:ascii="Helvetica" w:hAnsi="Helvetica" w:cs="Helvetica"/>
          <w:smallCaps/>
          <w:sz w:val="20"/>
          <w:szCs w:val="20"/>
        </w:rPr>
      </w:pPr>
    </w:p>
    <w:p w14:paraId="6E10165B"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20"/>
          <w:u w:val="single"/>
        </w:rPr>
      </w:pPr>
      <w:r w:rsidRPr="00844A5C">
        <w:rPr>
          <w:rFonts w:ascii="Arial" w:hAnsi="Arial" w:cs="Arial"/>
          <w:b/>
          <w:bCs/>
          <w:color w:val="393939"/>
          <w:sz w:val="20"/>
          <w:szCs w:val="20"/>
          <w:u w:val="single"/>
        </w:rPr>
        <w:t>January 2023 HR Compliance Deadlines</w:t>
      </w:r>
    </w:p>
    <w:p w14:paraId="7A3684C9" w14:textId="77777777" w:rsidR="00651F4B" w:rsidRPr="00844A5C" w:rsidRDefault="00651F4B" w:rsidP="00651F4B">
      <w:pPr>
        <w:numPr>
          <w:ilvl w:val="0"/>
          <w:numId w:val="25"/>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January 31st – Distribute W-2s and 1099-MISC (Paper &amp; E-File)</w:t>
      </w:r>
    </w:p>
    <w:p w14:paraId="18910A3C" w14:textId="77777777" w:rsidR="00651F4B" w:rsidRPr="00844A5C" w:rsidRDefault="00651F4B" w:rsidP="00651F4B">
      <w:pPr>
        <w:numPr>
          <w:ilvl w:val="0"/>
          <w:numId w:val="28"/>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W-2 (Wage and Tax Statements) Forms: Must be distributed to each employee in order to report employees’ annual wages and the amount of taxes withheld from their paychecks.</w:t>
      </w:r>
    </w:p>
    <w:p w14:paraId="0F4252FA" w14:textId="77777777" w:rsidR="00651F4B" w:rsidRPr="00844A5C" w:rsidRDefault="00651F4B" w:rsidP="00651F4B">
      <w:pPr>
        <w:numPr>
          <w:ilvl w:val="0"/>
          <w:numId w:val="28"/>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Form 1099-MISC: Indicates the amount of taxes withheld from paychecks for freelancers and contractors (non-payroll workers).</w:t>
      </w:r>
    </w:p>
    <w:p w14:paraId="7E75F69E" w14:textId="77777777" w:rsidR="00651F4B" w:rsidRPr="00844A5C" w:rsidRDefault="00651F4B" w:rsidP="00651F4B">
      <w:pPr>
        <w:numPr>
          <w:ilvl w:val="0"/>
          <w:numId w:val="25"/>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January 31st – Quarterly Forms 941 &amp; 720 due</w:t>
      </w:r>
    </w:p>
    <w:p w14:paraId="0E82F547"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IRS Form 941: Reports income taxes, Social Security taxes, and Medicare taxes withheld from employee paychecks.</w:t>
      </w:r>
    </w:p>
    <w:p w14:paraId="51084B3B"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IRS Form 720: If you own a business in goods and services that are subject to excise tax, you must prepare this form.</w:t>
      </w:r>
    </w:p>
    <w:p w14:paraId="463AF73E" w14:textId="77777777" w:rsidR="00651F4B" w:rsidRPr="00844A5C" w:rsidRDefault="00651F4B" w:rsidP="00651F4B">
      <w:pPr>
        <w:numPr>
          <w:ilvl w:val="0"/>
          <w:numId w:val="25"/>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January 31st – Distribute 1095-B &amp; 1095-C Forms to employees</w:t>
      </w:r>
    </w:p>
    <w:p w14:paraId="5F2BD313"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IRS Form 1095-B: Reports the type of health insurance coverage employees have, dependents that are covered by the policy, and the period of coverage for the prior year — used to verify that employees and dependents have minimum qualifying coverage.</w:t>
      </w:r>
    </w:p>
    <w:p w14:paraId="2F4D59AB"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IRS Form 1095-C: The Affordable Care Act requires some employers to offer health insurance coverage to full-time employees and dependents. This form serves as an annual statement employers should send to employees eligible for coverage and describe the insurance available.</w:t>
      </w:r>
    </w:p>
    <w:p w14:paraId="4575BFD3" w14:textId="77777777" w:rsidR="00651F4B" w:rsidRPr="00844A5C" w:rsidRDefault="00651F4B" w:rsidP="00651F4B">
      <w:pPr>
        <w:numPr>
          <w:ilvl w:val="0"/>
          <w:numId w:val="25"/>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January 31st – Annual Form 940 due (If quarterly FUTA taxes were not paid when due)</w:t>
      </w:r>
    </w:p>
    <w:p w14:paraId="514CDF2A"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 xml:space="preserve">IRS Form 940: Report </w:t>
      </w:r>
      <w:r w:rsidRPr="00651F4B">
        <w:rPr>
          <w:rFonts w:ascii="Arial" w:hAnsi="Arial" w:cs="Arial"/>
          <w:color w:val="000000"/>
          <w:sz w:val="20"/>
          <w:szCs w:val="20"/>
        </w:rPr>
        <w:t>annual</w:t>
      </w:r>
      <w:hyperlink r:id="rId8" w:history="1">
        <w:r w:rsidRPr="00651F4B">
          <w:rPr>
            <w:rFonts w:ascii="Arial" w:hAnsi="Arial" w:cs="Arial"/>
            <w:color w:val="000000"/>
            <w:sz w:val="20"/>
            <w:szCs w:val="20"/>
            <w:bdr w:val="none" w:sz="0" w:space="0" w:color="auto" w:frame="1"/>
          </w:rPr>
          <w:t> FUTA (Federal Unemployment Tax Act)</w:t>
        </w:r>
      </w:hyperlink>
      <w:r w:rsidRPr="00651F4B">
        <w:rPr>
          <w:rFonts w:ascii="Arial" w:hAnsi="Arial" w:cs="Arial"/>
          <w:color w:val="000000"/>
          <w:sz w:val="20"/>
          <w:szCs w:val="20"/>
        </w:rPr>
        <w:t> tax</w:t>
      </w:r>
      <w:r w:rsidRPr="00844A5C">
        <w:rPr>
          <w:rFonts w:ascii="Arial" w:hAnsi="Arial" w:cs="Arial"/>
          <w:color w:val="393939"/>
          <w:sz w:val="20"/>
          <w:szCs w:val="20"/>
        </w:rPr>
        <w:t>.</w:t>
      </w:r>
    </w:p>
    <w:p w14:paraId="0D1A1C1D" w14:textId="77777777" w:rsidR="00651F4B" w:rsidRPr="00844A5C" w:rsidRDefault="00651F4B" w:rsidP="00651F4B">
      <w:pPr>
        <w:numPr>
          <w:ilvl w:val="0"/>
          <w:numId w:val="25"/>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January 31st – Form 1099-NEC to both the IRS and to recipients</w:t>
      </w:r>
    </w:p>
    <w:p w14:paraId="3DB52D72" w14:textId="77777777" w:rsidR="00651F4B" w:rsidRPr="00844A5C" w:rsidRDefault="00651F4B" w:rsidP="00651F4B">
      <w:pPr>
        <w:numPr>
          <w:ilvl w:val="1"/>
          <w:numId w:val="25"/>
        </w:numPr>
        <w:shd w:val="clear" w:color="auto" w:fill="FFFFFF"/>
        <w:ind w:left="720"/>
        <w:jc w:val="both"/>
        <w:textAlignment w:val="baseline"/>
        <w:rPr>
          <w:rFonts w:ascii="Arial" w:hAnsi="Arial" w:cs="Arial"/>
          <w:color w:val="393939"/>
          <w:sz w:val="20"/>
          <w:szCs w:val="20"/>
        </w:rPr>
      </w:pPr>
      <w:r w:rsidRPr="00844A5C">
        <w:rPr>
          <w:rFonts w:ascii="Arial" w:hAnsi="Arial" w:cs="Arial"/>
          <w:color w:val="393939"/>
          <w:sz w:val="20"/>
          <w:szCs w:val="20"/>
        </w:rPr>
        <w:t>IRS Form 1099-NEC: Report non-employee compensation on Form 1099-NEC instead of Form 1099-MISC (beginning with the 2020 tax year).</w:t>
      </w:r>
    </w:p>
    <w:p w14:paraId="6A9D4EFF" w14:textId="77777777" w:rsidR="00651F4B" w:rsidRPr="00844A5C" w:rsidRDefault="00651F4B" w:rsidP="00651F4B">
      <w:pPr>
        <w:numPr>
          <w:ilvl w:val="0"/>
          <w:numId w:val="25"/>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January 31st – Due Date for Form 1099-MISC with only boxes 8 &amp; 10 to be sent to the recipient</w:t>
      </w:r>
    </w:p>
    <w:p w14:paraId="2FEC6BA6" w14:textId="77777777" w:rsidR="00651F4B" w:rsidRDefault="00651F4B" w:rsidP="00651F4B">
      <w:pPr>
        <w:shd w:val="clear" w:color="auto" w:fill="FFFFFF"/>
        <w:jc w:val="both"/>
        <w:textAlignment w:val="baseline"/>
        <w:rPr>
          <w:rFonts w:ascii="Arial" w:hAnsi="Arial" w:cs="Arial"/>
          <w:color w:val="393939"/>
          <w:sz w:val="20"/>
          <w:szCs w:val="20"/>
        </w:rPr>
      </w:pPr>
    </w:p>
    <w:p w14:paraId="1BEA7F12" w14:textId="77777777" w:rsidR="00651F4B" w:rsidRPr="00844A5C" w:rsidRDefault="00651F4B" w:rsidP="00651F4B">
      <w:pPr>
        <w:shd w:val="clear" w:color="auto" w:fill="FFFFFF"/>
        <w:jc w:val="both"/>
        <w:textAlignment w:val="baseline"/>
        <w:rPr>
          <w:rFonts w:ascii="Arial" w:hAnsi="Arial" w:cs="Arial"/>
          <w:color w:val="393939"/>
          <w:sz w:val="20"/>
          <w:szCs w:val="20"/>
        </w:rPr>
      </w:pPr>
    </w:p>
    <w:p w14:paraId="0E199F1F"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20"/>
          <w:u w:val="single"/>
        </w:rPr>
      </w:pPr>
      <w:r w:rsidRPr="00844A5C">
        <w:rPr>
          <w:rFonts w:ascii="Arial" w:hAnsi="Arial" w:cs="Arial"/>
          <w:b/>
          <w:bCs/>
          <w:color w:val="393939"/>
          <w:sz w:val="20"/>
          <w:szCs w:val="20"/>
          <w:u w:val="single"/>
        </w:rPr>
        <w:t>February 2023 HR Compliance Deadlines</w:t>
      </w:r>
    </w:p>
    <w:p w14:paraId="07FA29FA" w14:textId="77777777" w:rsidR="00651F4B" w:rsidRPr="00844A5C" w:rsidRDefault="00651F4B" w:rsidP="00651F4B">
      <w:pPr>
        <w:numPr>
          <w:ilvl w:val="0"/>
          <w:numId w:val="26"/>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February 1st – Post OSHA Form 300A</w:t>
      </w:r>
    </w:p>
    <w:p w14:paraId="23291AC3"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OSHA Form 300A: Employer record of all reportable injuries and illnesses that occur in the workplace, the location and time in which they occurred, and additional details. OSHA requires most employers with 10 or more full-time employees to keep an annual log.</w:t>
      </w:r>
    </w:p>
    <w:p w14:paraId="7AF4747E" w14:textId="77777777" w:rsidR="00651F4B" w:rsidRPr="00844A5C" w:rsidRDefault="00651F4B" w:rsidP="00651F4B">
      <w:pPr>
        <w:numPr>
          <w:ilvl w:val="0"/>
          <w:numId w:val="26"/>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February 10th – Annual Form 940 Due (If quarterly FUTA taxes were paid when due)</w:t>
      </w:r>
    </w:p>
    <w:p w14:paraId="0F25F4D2" w14:textId="77777777" w:rsidR="00651F4B" w:rsidRPr="00844A5C" w:rsidRDefault="00651F4B" w:rsidP="00651F4B">
      <w:pPr>
        <w:numPr>
          <w:ilvl w:val="0"/>
          <w:numId w:val="26"/>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February 28th – Deadline to file ACA Forms 1094-C, 1095-C, 1099-MISC without NEC to IRS (If paper filing)</w:t>
      </w:r>
    </w:p>
    <w:p w14:paraId="3E2DD742" w14:textId="77777777" w:rsidR="00651F4B" w:rsidRPr="00844A5C" w:rsidRDefault="00651F4B" w:rsidP="00651F4B">
      <w:pPr>
        <w:numPr>
          <w:ilvl w:val="0"/>
          <w:numId w:val="26"/>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February 28th – Form 8809 Paper Filing Deadline</w:t>
      </w:r>
    </w:p>
    <w:p w14:paraId="7FA7D6F0" w14:textId="77777777" w:rsidR="00651F4B"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IRS Form 8809: Request an extension of the due date to file federal tax forms including the W-2, W-2G, 1042-S, and 1094-C.</w:t>
      </w:r>
    </w:p>
    <w:p w14:paraId="64EDBED4" w14:textId="77777777" w:rsidR="00651F4B" w:rsidRDefault="00651F4B" w:rsidP="00651F4B">
      <w:pPr>
        <w:shd w:val="clear" w:color="auto" w:fill="FFFFFF"/>
        <w:jc w:val="both"/>
        <w:textAlignment w:val="baseline"/>
        <w:rPr>
          <w:rFonts w:ascii="Arial" w:hAnsi="Arial" w:cs="Arial"/>
          <w:color w:val="393939"/>
          <w:sz w:val="20"/>
          <w:szCs w:val="20"/>
        </w:rPr>
      </w:pPr>
    </w:p>
    <w:p w14:paraId="0FBEBEC8" w14:textId="77777777" w:rsidR="00651F4B" w:rsidRPr="00844A5C" w:rsidRDefault="00651F4B" w:rsidP="00651F4B">
      <w:pPr>
        <w:shd w:val="clear" w:color="auto" w:fill="FFFFFF"/>
        <w:jc w:val="both"/>
        <w:textAlignment w:val="baseline"/>
        <w:rPr>
          <w:rFonts w:ascii="Arial" w:hAnsi="Arial" w:cs="Arial"/>
          <w:color w:val="393939"/>
          <w:sz w:val="20"/>
          <w:szCs w:val="20"/>
        </w:rPr>
      </w:pPr>
    </w:p>
    <w:p w14:paraId="23A9CA7C"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20"/>
          <w:u w:val="single"/>
        </w:rPr>
      </w:pPr>
      <w:r w:rsidRPr="00844A5C">
        <w:rPr>
          <w:rFonts w:ascii="Arial" w:hAnsi="Arial" w:cs="Arial"/>
          <w:b/>
          <w:bCs/>
          <w:color w:val="393939"/>
          <w:sz w:val="20"/>
          <w:szCs w:val="20"/>
          <w:u w:val="single"/>
        </w:rPr>
        <w:t>March 2023 HR Compliance Deadlines</w:t>
      </w:r>
    </w:p>
    <w:p w14:paraId="43C9C9FE"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1st – HIPAA Breach Employee Notification</w:t>
      </w:r>
    </w:p>
    <w:p w14:paraId="2F56F209"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The HIPAA Breach Notification rule requires HIPAA-covered entities and their business associates to provide notification after a breach of unsecured protected health information. Notifications must be submitted to the Secretary.</w:t>
      </w:r>
    </w:p>
    <w:p w14:paraId="3590182A"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1st – Form M-1 Filing Deadline</w:t>
      </w:r>
    </w:p>
    <w:p w14:paraId="73FBD560"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Form M-1: Report information regarding a multiple employer welfare arrangement (MEWA) and any entity claiming exception (ECE).</w:t>
      </w:r>
    </w:p>
    <w:p w14:paraId="1F35C714"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2nd – Electronically submit OSHA Form 300A</w:t>
      </w:r>
    </w:p>
    <w:p w14:paraId="6D22FFD6"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2nd – Creditable Coverage Disclosure to CMS (for calendar year plans)</w:t>
      </w:r>
    </w:p>
    <w:p w14:paraId="72BDB012" w14:textId="77777777" w:rsidR="00651F4B"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Entities that provide prescription drug coverage for self-administered drugs to Medicare Part D eligible individuals must report to CMS whether the coverage is “creditable prescription drug</w:t>
      </w:r>
    </w:p>
    <w:p w14:paraId="7218A224" w14:textId="77777777" w:rsidR="009942FC" w:rsidRDefault="009942FC" w:rsidP="004A08FD">
      <w:pPr>
        <w:autoSpaceDE w:val="0"/>
        <w:autoSpaceDN w:val="0"/>
        <w:adjustRightInd w:val="0"/>
        <w:rPr>
          <w:rFonts w:ascii="Arial" w:hAnsi="Arial" w:cs="Arial"/>
          <w:i/>
          <w:sz w:val="20"/>
          <w:szCs w:val="20"/>
        </w:rPr>
      </w:pPr>
    </w:p>
    <w:p w14:paraId="361125CE" w14:textId="77777777" w:rsidR="009C198C" w:rsidRPr="009C198C" w:rsidRDefault="009C198C" w:rsidP="009C198C">
      <w:pPr>
        <w:rPr>
          <w:rFonts w:ascii="Arial" w:hAnsi="Arial" w:cs="Arial"/>
          <w:sz w:val="20"/>
          <w:szCs w:val="20"/>
        </w:rPr>
        <w:sectPr w:rsidR="009C198C" w:rsidRPr="009C198C" w:rsidSect="005F2426">
          <w:headerReference w:type="default" r:id="rId9"/>
          <w:footerReference w:type="default" r:id="rId10"/>
          <w:pgSz w:w="12240" w:h="15840" w:code="1"/>
          <w:pgMar w:top="864" w:right="1530" w:bottom="864" w:left="1440" w:header="144" w:footer="576" w:gutter="0"/>
          <w:cols w:space="720"/>
          <w:docGrid w:linePitch="360"/>
        </w:sectPr>
      </w:pPr>
    </w:p>
    <w:p w14:paraId="4AE42AE0"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lastRenderedPageBreak/>
        <w:t>coverage.” The disclosure is required regardless of whether the entity’s coverage is primary or secondary to Medicare.</w:t>
      </w:r>
    </w:p>
    <w:p w14:paraId="2E4DA174"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15th – Form 8809 E-filing deadline</w:t>
      </w:r>
    </w:p>
    <w:p w14:paraId="73379CF4"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15th – S Corp (Form 1120-S) and Partnership (Form 1065) Tax Returns due</w:t>
      </w:r>
    </w:p>
    <w:p w14:paraId="378D3739"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 xml:space="preserve">Form 1120-S: U.S. Income Tax Return for an S Corporation, used to report the income, losses, and dividends of S </w:t>
      </w:r>
      <w:proofErr w:type="spellStart"/>
      <w:r w:rsidRPr="00844A5C">
        <w:rPr>
          <w:rFonts w:ascii="Arial" w:hAnsi="Arial" w:cs="Arial"/>
          <w:color w:val="393939"/>
          <w:sz w:val="20"/>
          <w:szCs w:val="20"/>
        </w:rPr>
        <w:t>corp</w:t>
      </w:r>
      <w:proofErr w:type="spellEnd"/>
      <w:r w:rsidRPr="00844A5C">
        <w:rPr>
          <w:rFonts w:ascii="Arial" w:hAnsi="Arial" w:cs="Arial"/>
          <w:color w:val="393939"/>
          <w:sz w:val="20"/>
          <w:szCs w:val="20"/>
        </w:rPr>
        <w:t xml:space="preserve"> shareholders.</w:t>
      </w:r>
    </w:p>
    <w:p w14:paraId="3F8C65D7"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Form 1065: U.S. Return of Partnership Income, used to declare profits, losses, deductions, and credits of a business partnership.</w:t>
      </w:r>
    </w:p>
    <w:p w14:paraId="082BC4AC"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bdr w:val="none" w:sz="0" w:space="0" w:color="auto" w:frame="1"/>
        </w:rPr>
        <w:t>March 15th – Form 2553 due</w:t>
      </w:r>
    </w:p>
    <w:p w14:paraId="1224AC9D"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hyperlink r:id="rId11" w:tgtFrame="_blank" w:history="1">
        <w:r w:rsidRPr="00651F4B">
          <w:rPr>
            <w:rFonts w:ascii="Arial" w:hAnsi="Arial" w:cs="Arial"/>
            <w:color w:val="000000"/>
            <w:sz w:val="20"/>
            <w:szCs w:val="20"/>
            <w:bdr w:val="none" w:sz="0" w:space="0" w:color="auto" w:frame="1"/>
          </w:rPr>
          <w:t>Form 2553</w:t>
        </w:r>
      </w:hyperlink>
      <w:r w:rsidRPr="00651F4B">
        <w:rPr>
          <w:rFonts w:ascii="Arial" w:hAnsi="Arial" w:cs="Arial"/>
          <w:color w:val="000000"/>
          <w:sz w:val="20"/>
          <w:szCs w:val="20"/>
        </w:rPr>
        <w:t>: Must be</w:t>
      </w:r>
      <w:r w:rsidRPr="00844A5C">
        <w:rPr>
          <w:rFonts w:ascii="Arial" w:hAnsi="Arial" w:cs="Arial"/>
          <w:color w:val="393939"/>
          <w:sz w:val="20"/>
          <w:szCs w:val="20"/>
        </w:rPr>
        <w:t xml:space="preserve"> filed for a company to qualify as an S corporation.</w:t>
      </w:r>
    </w:p>
    <w:p w14:paraId="23FECA5E"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31st – Form 1099-MISC due if reporting NEC in box 7</w:t>
      </w:r>
    </w:p>
    <w:p w14:paraId="00A64EFF"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31st – Deadline to file Form 1099s electronically</w:t>
      </w:r>
    </w:p>
    <w:p w14:paraId="07312DC2"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31st – Deadline to file Form 1094-C &amp; 1095-C &amp; 1099-MISC without NEC to IRS electronically</w:t>
      </w:r>
    </w:p>
    <w:p w14:paraId="04B529E6" w14:textId="77777777" w:rsidR="00651F4B" w:rsidRPr="00844A5C" w:rsidRDefault="00651F4B" w:rsidP="00651F4B">
      <w:pPr>
        <w:numPr>
          <w:ilvl w:val="0"/>
          <w:numId w:val="27"/>
        </w:numPr>
        <w:shd w:val="clear" w:color="auto" w:fill="FFFFFF"/>
        <w:tabs>
          <w:tab w:val="clear" w:pos="720"/>
        </w:tabs>
        <w:ind w:left="360"/>
        <w:jc w:val="both"/>
        <w:textAlignment w:val="baseline"/>
        <w:rPr>
          <w:rFonts w:ascii="Arial" w:hAnsi="Arial" w:cs="Arial"/>
          <w:color w:val="393939"/>
          <w:sz w:val="20"/>
          <w:szCs w:val="20"/>
        </w:rPr>
      </w:pPr>
      <w:r w:rsidRPr="00844A5C">
        <w:rPr>
          <w:rFonts w:ascii="Arial" w:hAnsi="Arial" w:cs="Arial"/>
          <w:b/>
          <w:bCs/>
          <w:color w:val="393939"/>
          <w:sz w:val="20"/>
          <w:szCs w:val="20"/>
        </w:rPr>
        <w:t>March 31st – EEO-1 Reporting and Filing Deadline</w:t>
      </w:r>
    </w:p>
    <w:p w14:paraId="351500EF"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844A5C">
        <w:rPr>
          <w:rFonts w:ascii="Arial" w:hAnsi="Arial" w:cs="Arial"/>
          <w:color w:val="393939"/>
          <w:sz w:val="20"/>
          <w:szCs w:val="20"/>
        </w:rPr>
        <w:t>EEO-1: Mandatory yearly data collection requiring all private sector employers with 100+ employees, and federal contractors with 50+ employees meeting certain criteria to submit demographic workforce data, including race/ethnicity, sex, and job category data.</w:t>
      </w:r>
    </w:p>
    <w:p w14:paraId="01D19EA4" w14:textId="77777777" w:rsidR="00651F4B" w:rsidRPr="00844A5C" w:rsidRDefault="00651F4B" w:rsidP="00651F4B">
      <w:pPr>
        <w:shd w:val="clear" w:color="auto" w:fill="FFFFFF"/>
        <w:ind w:left="360"/>
        <w:jc w:val="both"/>
        <w:textAlignment w:val="baseline"/>
        <w:rPr>
          <w:rFonts w:ascii="Arial" w:hAnsi="Arial" w:cs="Arial"/>
          <w:color w:val="393939"/>
          <w:sz w:val="20"/>
          <w:szCs w:val="20"/>
        </w:rPr>
      </w:pPr>
    </w:p>
    <w:p w14:paraId="61BFB22F" w14:textId="77777777" w:rsidR="00651F4B" w:rsidRPr="00844A5C" w:rsidRDefault="00651F4B" w:rsidP="00651F4B">
      <w:pPr>
        <w:jc w:val="both"/>
        <w:rPr>
          <w:rFonts w:ascii="Arial" w:hAnsi="Arial" w:cs="Arial"/>
          <w:sz w:val="20"/>
          <w:szCs w:val="20"/>
        </w:rPr>
      </w:pPr>
    </w:p>
    <w:p w14:paraId="1223AAE8"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April 2023 HR Compliance Deadlines</w:t>
      </w:r>
    </w:p>
    <w:p w14:paraId="7D602F57" w14:textId="77777777" w:rsidR="00651F4B" w:rsidRPr="00844A5C" w:rsidRDefault="00651F4B" w:rsidP="00651F4B">
      <w:pPr>
        <w:numPr>
          <w:ilvl w:val="0"/>
          <w:numId w:val="30"/>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April 18th – Tax Day (filing deadline for personal tax returns &amp; C corporations)</w:t>
      </w:r>
    </w:p>
    <w:p w14:paraId="6E050B1F" w14:textId="77777777" w:rsidR="00651F4B" w:rsidRPr="00A45A4F"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A45A4F">
        <w:rPr>
          <w:rFonts w:ascii="Arial" w:hAnsi="Arial" w:cs="Arial"/>
          <w:color w:val="393939"/>
          <w:sz w:val="20"/>
          <w:szCs w:val="20"/>
        </w:rPr>
        <w:t>Tax Day: Day on which income tax returns are due to be submitted to the federal government.</w:t>
      </w:r>
    </w:p>
    <w:p w14:paraId="5288A177"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A45A4F">
        <w:rPr>
          <w:rFonts w:ascii="Arial" w:hAnsi="Arial" w:cs="Arial"/>
          <w:color w:val="393939"/>
          <w:sz w:val="20"/>
          <w:szCs w:val="20"/>
        </w:rPr>
        <w:t>Usually</w:t>
      </w:r>
      <w:r w:rsidRPr="00844A5C">
        <w:rPr>
          <w:rFonts w:ascii="Arial" w:hAnsi="Arial" w:cs="Arial"/>
          <w:color w:val="393939"/>
          <w:sz w:val="20"/>
          <w:szCs w:val="32"/>
        </w:rPr>
        <w:t xml:space="preserve"> April 15, but that date falls on a Saturday in 2023.</w:t>
      </w:r>
    </w:p>
    <w:p w14:paraId="5EA74026" w14:textId="77777777" w:rsidR="00651F4B" w:rsidRPr="00844A5C" w:rsidRDefault="00651F4B" w:rsidP="00651F4B">
      <w:pPr>
        <w:numPr>
          <w:ilvl w:val="0"/>
          <w:numId w:val="30"/>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April 18th – Forms 7004 and 8928 Filing Deadline</w:t>
      </w:r>
    </w:p>
    <w:p w14:paraId="5154DD8D" w14:textId="77777777" w:rsidR="00651F4B" w:rsidRPr="00A45A4F"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A45A4F">
        <w:rPr>
          <w:rFonts w:ascii="Arial" w:hAnsi="Arial" w:cs="Arial"/>
          <w:color w:val="393939"/>
          <w:sz w:val="20"/>
          <w:szCs w:val="20"/>
        </w:rPr>
        <w:t>IRS Form 7004: Request an automatic six-month extension of time to file certain business income tax, information, and other returns.</w:t>
      </w:r>
    </w:p>
    <w:p w14:paraId="3FC44BB4" w14:textId="77777777" w:rsidR="00651F4B" w:rsidRPr="00A45A4F"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A45A4F">
        <w:rPr>
          <w:rFonts w:ascii="Arial" w:hAnsi="Arial" w:cs="Arial"/>
          <w:color w:val="393939"/>
          <w:sz w:val="20"/>
          <w:szCs w:val="20"/>
        </w:rPr>
        <w:t>IRS Form 8928: Employer self-report COBRA administration compliance failures.</w:t>
      </w:r>
    </w:p>
    <w:p w14:paraId="68991E4A" w14:textId="77777777" w:rsidR="00651F4B" w:rsidRPr="00A45A4F"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20"/>
        </w:rPr>
      </w:pPr>
      <w:r w:rsidRPr="00A45A4F">
        <w:rPr>
          <w:rFonts w:ascii="Arial" w:hAnsi="Arial" w:cs="Arial"/>
          <w:color w:val="393939"/>
          <w:sz w:val="20"/>
          <w:szCs w:val="20"/>
        </w:rPr>
        <w:t>Usually April 15.</w:t>
      </w:r>
    </w:p>
    <w:p w14:paraId="552BFE48" w14:textId="77777777" w:rsidR="00651F4B" w:rsidRPr="00844A5C" w:rsidRDefault="00651F4B" w:rsidP="00651F4B">
      <w:pPr>
        <w:numPr>
          <w:ilvl w:val="0"/>
          <w:numId w:val="30"/>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April 28th – Summary Plan Description (SPD)</w:t>
      </w:r>
    </w:p>
    <w:p w14:paraId="13C70499" w14:textId="77777777" w:rsidR="00651F4B"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SPD: Documentation employers must give employees in retirement plans or health benefit plans covered by the Employee Retirement Income Security Act of 1974 (ERISA).</w:t>
      </w:r>
    </w:p>
    <w:p w14:paraId="55081F66" w14:textId="77777777" w:rsidR="00651F4B" w:rsidRDefault="00651F4B" w:rsidP="00651F4B">
      <w:pPr>
        <w:shd w:val="clear" w:color="auto" w:fill="FFFFFF"/>
        <w:jc w:val="both"/>
        <w:textAlignment w:val="baseline"/>
        <w:rPr>
          <w:rFonts w:ascii="Arial" w:hAnsi="Arial" w:cs="Arial"/>
          <w:color w:val="393939"/>
          <w:sz w:val="20"/>
          <w:szCs w:val="32"/>
        </w:rPr>
      </w:pPr>
    </w:p>
    <w:p w14:paraId="33A96046" w14:textId="77777777" w:rsidR="00651F4B" w:rsidRPr="00844A5C" w:rsidRDefault="00651F4B" w:rsidP="00651F4B">
      <w:pPr>
        <w:shd w:val="clear" w:color="auto" w:fill="FFFFFF"/>
        <w:jc w:val="both"/>
        <w:textAlignment w:val="baseline"/>
        <w:rPr>
          <w:rFonts w:ascii="Arial" w:hAnsi="Arial" w:cs="Arial"/>
          <w:color w:val="393939"/>
          <w:sz w:val="20"/>
          <w:szCs w:val="32"/>
        </w:rPr>
      </w:pPr>
    </w:p>
    <w:p w14:paraId="03DF3D91"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May 2023 HR Compliance Deadlines</w:t>
      </w:r>
    </w:p>
    <w:p w14:paraId="264998E0" w14:textId="77777777" w:rsidR="00651F4B" w:rsidRPr="00844A5C" w:rsidRDefault="00651F4B" w:rsidP="00651F4B">
      <w:pPr>
        <w:numPr>
          <w:ilvl w:val="0"/>
          <w:numId w:val="31"/>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May 1 – Quarterly Form 941 &amp; 720 due</w:t>
      </w:r>
    </w:p>
    <w:p w14:paraId="707AA1DD" w14:textId="77777777" w:rsidR="00651F4B" w:rsidRPr="00844A5C" w:rsidRDefault="00651F4B" w:rsidP="00651F4B">
      <w:pPr>
        <w:numPr>
          <w:ilvl w:val="0"/>
          <w:numId w:val="31"/>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May 15th – Non-Profit Tax Returns due, including Form 990</w:t>
      </w:r>
    </w:p>
    <w:p w14:paraId="2BA088FB" w14:textId="77777777" w:rsidR="00651F4B"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IRS Form 990: Report activities annually for organizations exempt from income tax.</w:t>
      </w:r>
    </w:p>
    <w:p w14:paraId="48B3DC06" w14:textId="77777777" w:rsidR="00651F4B" w:rsidRDefault="00651F4B" w:rsidP="00651F4B">
      <w:pPr>
        <w:shd w:val="clear" w:color="auto" w:fill="FFFFFF"/>
        <w:jc w:val="both"/>
        <w:textAlignment w:val="baseline"/>
        <w:rPr>
          <w:rFonts w:ascii="Arial" w:hAnsi="Arial" w:cs="Arial"/>
          <w:color w:val="393939"/>
          <w:sz w:val="20"/>
          <w:szCs w:val="32"/>
        </w:rPr>
      </w:pPr>
    </w:p>
    <w:p w14:paraId="370CC007" w14:textId="77777777" w:rsidR="00651F4B" w:rsidRPr="00844A5C" w:rsidRDefault="00651F4B" w:rsidP="00651F4B">
      <w:pPr>
        <w:shd w:val="clear" w:color="auto" w:fill="FFFFFF"/>
        <w:jc w:val="both"/>
        <w:textAlignment w:val="baseline"/>
        <w:rPr>
          <w:rFonts w:ascii="Arial" w:hAnsi="Arial" w:cs="Arial"/>
          <w:color w:val="393939"/>
          <w:sz w:val="20"/>
          <w:szCs w:val="32"/>
        </w:rPr>
      </w:pPr>
    </w:p>
    <w:p w14:paraId="7F2F8AF4"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June 2023 HR Compliance Deadlines</w:t>
      </w:r>
    </w:p>
    <w:p w14:paraId="5DF2BE9B" w14:textId="77777777" w:rsidR="00651F4B" w:rsidRDefault="00651F4B" w:rsidP="00651F4B">
      <w:pPr>
        <w:numPr>
          <w:ilvl w:val="0"/>
          <w:numId w:val="32"/>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color w:val="393939"/>
          <w:sz w:val="20"/>
          <w:szCs w:val="32"/>
        </w:rPr>
        <w:t>No key compliance dates</w:t>
      </w:r>
    </w:p>
    <w:p w14:paraId="448725D6" w14:textId="77777777" w:rsidR="00651F4B" w:rsidRDefault="00651F4B" w:rsidP="00651F4B">
      <w:pPr>
        <w:shd w:val="clear" w:color="auto" w:fill="FFFFFF"/>
        <w:jc w:val="both"/>
        <w:textAlignment w:val="baseline"/>
        <w:rPr>
          <w:rFonts w:ascii="Arial" w:hAnsi="Arial" w:cs="Arial"/>
          <w:color w:val="393939"/>
          <w:sz w:val="20"/>
          <w:szCs w:val="32"/>
        </w:rPr>
      </w:pPr>
    </w:p>
    <w:p w14:paraId="0FC3614E" w14:textId="77777777" w:rsidR="00651F4B" w:rsidRPr="00844A5C" w:rsidRDefault="00651F4B" w:rsidP="00651F4B">
      <w:pPr>
        <w:shd w:val="clear" w:color="auto" w:fill="FFFFFF"/>
        <w:jc w:val="both"/>
        <w:textAlignment w:val="baseline"/>
        <w:rPr>
          <w:rFonts w:ascii="Arial" w:hAnsi="Arial" w:cs="Arial"/>
          <w:color w:val="393939"/>
          <w:sz w:val="20"/>
          <w:szCs w:val="32"/>
        </w:rPr>
      </w:pPr>
    </w:p>
    <w:p w14:paraId="5578A9A7"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July 2023 HR Compliance Deadlines</w:t>
      </w:r>
    </w:p>
    <w:p w14:paraId="11114DFA" w14:textId="77777777" w:rsidR="00651F4B" w:rsidRPr="00844A5C" w:rsidRDefault="00651F4B" w:rsidP="00651F4B">
      <w:pPr>
        <w:numPr>
          <w:ilvl w:val="0"/>
          <w:numId w:val="33"/>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July 31st – Quarterly Form 941 &amp; 720 due</w:t>
      </w:r>
    </w:p>
    <w:p w14:paraId="5FE92F48" w14:textId="77777777" w:rsidR="00651F4B" w:rsidRPr="00844A5C" w:rsidRDefault="00651F4B" w:rsidP="00651F4B">
      <w:pPr>
        <w:numPr>
          <w:ilvl w:val="0"/>
          <w:numId w:val="33"/>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July 31st – Forms 5500 and 5558 Filing Deadline (for calendar year plans)</w:t>
      </w:r>
    </w:p>
    <w:p w14:paraId="0FC7D798"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IRS Form 5500: Report information about a 401(k) plan’s financial condition, investments and operation to ensure compliance with government regulations.</w:t>
      </w:r>
    </w:p>
    <w:p w14:paraId="00A68E0E"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IRS Form 5558: Request for extension of 2 ½ months for additional time to file employee plan returns.</w:t>
      </w:r>
    </w:p>
    <w:p w14:paraId="10A46C88" w14:textId="77777777" w:rsidR="00651F4B" w:rsidRPr="00844A5C" w:rsidRDefault="00651F4B" w:rsidP="00651F4B">
      <w:pPr>
        <w:numPr>
          <w:ilvl w:val="0"/>
          <w:numId w:val="33"/>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July 31st – Compliance check</w:t>
      </w:r>
    </w:p>
    <w:p w14:paraId="0EE44ECA" w14:textId="77777777" w:rsidR="00651F4B" w:rsidRPr="00070775" w:rsidRDefault="00651F4B" w:rsidP="00651F4B">
      <w:pPr>
        <w:numPr>
          <w:ilvl w:val="0"/>
          <w:numId w:val="29"/>
        </w:numPr>
        <w:shd w:val="clear" w:color="auto" w:fill="FFFFFF"/>
        <w:tabs>
          <w:tab w:val="clear" w:pos="720"/>
        </w:tabs>
        <w:jc w:val="both"/>
        <w:textAlignment w:val="baseline"/>
        <w:rPr>
          <w:rFonts w:ascii="Arial" w:hAnsi="Arial" w:cs="Arial"/>
          <w:i/>
          <w:sz w:val="20"/>
          <w:szCs w:val="20"/>
        </w:rPr>
      </w:pPr>
      <w:r w:rsidRPr="00844A5C">
        <w:rPr>
          <w:rFonts w:ascii="Arial" w:hAnsi="Arial" w:cs="Arial"/>
          <w:color w:val="393939"/>
          <w:sz w:val="20"/>
          <w:szCs w:val="32"/>
        </w:rPr>
        <w:t>This is time to review benefits notices, or issued as required</w:t>
      </w:r>
    </w:p>
    <w:p w14:paraId="67AF4EE5" w14:textId="77777777" w:rsidR="00651F4B" w:rsidRDefault="00651F4B" w:rsidP="00651F4B">
      <w:pPr>
        <w:shd w:val="clear" w:color="auto" w:fill="FFFFFF"/>
        <w:jc w:val="both"/>
        <w:textAlignment w:val="baseline"/>
        <w:outlineLvl w:val="1"/>
        <w:rPr>
          <w:rFonts w:ascii="Arial" w:hAnsi="Arial" w:cs="Arial"/>
          <w:b/>
          <w:bCs/>
          <w:color w:val="393939"/>
          <w:sz w:val="20"/>
          <w:szCs w:val="36"/>
          <w:u w:val="single"/>
        </w:rPr>
      </w:pPr>
    </w:p>
    <w:p w14:paraId="4B728F87" w14:textId="77777777" w:rsidR="00651F4B" w:rsidRDefault="00651F4B" w:rsidP="00651F4B">
      <w:pPr>
        <w:shd w:val="clear" w:color="auto" w:fill="FFFFFF"/>
        <w:jc w:val="both"/>
        <w:textAlignment w:val="baseline"/>
        <w:outlineLvl w:val="1"/>
        <w:rPr>
          <w:rFonts w:ascii="Arial" w:hAnsi="Arial" w:cs="Arial"/>
          <w:b/>
          <w:bCs/>
          <w:color w:val="393939"/>
          <w:sz w:val="20"/>
          <w:szCs w:val="36"/>
          <w:u w:val="single"/>
        </w:rPr>
      </w:pPr>
    </w:p>
    <w:p w14:paraId="04F91898"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August 2023 HR Compliance Deadlines</w:t>
      </w:r>
    </w:p>
    <w:p w14:paraId="63313DEF" w14:textId="77777777" w:rsidR="00651F4B" w:rsidRDefault="00651F4B" w:rsidP="00651F4B">
      <w:pPr>
        <w:numPr>
          <w:ilvl w:val="0"/>
          <w:numId w:val="34"/>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color w:val="393939"/>
          <w:sz w:val="20"/>
          <w:szCs w:val="32"/>
        </w:rPr>
        <w:t>No key compliance dates</w:t>
      </w:r>
    </w:p>
    <w:p w14:paraId="7321D4EF" w14:textId="77777777" w:rsidR="00651F4B" w:rsidRDefault="00651F4B" w:rsidP="00651F4B">
      <w:pPr>
        <w:shd w:val="clear" w:color="auto" w:fill="FFFFFF"/>
        <w:jc w:val="both"/>
        <w:textAlignment w:val="baseline"/>
        <w:rPr>
          <w:rFonts w:ascii="Arial" w:hAnsi="Arial" w:cs="Arial"/>
          <w:color w:val="393939"/>
          <w:sz w:val="20"/>
          <w:szCs w:val="32"/>
        </w:rPr>
      </w:pPr>
    </w:p>
    <w:p w14:paraId="73F2D03A" w14:textId="77777777" w:rsidR="00651F4B" w:rsidRDefault="00651F4B" w:rsidP="00651F4B">
      <w:pPr>
        <w:shd w:val="clear" w:color="auto" w:fill="FFFFFF"/>
        <w:jc w:val="both"/>
        <w:textAlignment w:val="baseline"/>
        <w:rPr>
          <w:rFonts w:ascii="Arial" w:hAnsi="Arial" w:cs="Arial"/>
          <w:color w:val="393939"/>
          <w:sz w:val="20"/>
          <w:szCs w:val="32"/>
        </w:rPr>
      </w:pPr>
    </w:p>
    <w:p w14:paraId="452B4791" w14:textId="77777777" w:rsidR="00651F4B" w:rsidRPr="00844A5C" w:rsidRDefault="00651F4B" w:rsidP="00651F4B">
      <w:pPr>
        <w:shd w:val="clear" w:color="auto" w:fill="FFFFFF"/>
        <w:jc w:val="both"/>
        <w:textAlignment w:val="baseline"/>
        <w:rPr>
          <w:rFonts w:ascii="Arial" w:hAnsi="Arial" w:cs="Arial"/>
          <w:color w:val="393939"/>
          <w:sz w:val="20"/>
          <w:szCs w:val="32"/>
        </w:rPr>
      </w:pPr>
    </w:p>
    <w:p w14:paraId="28656151"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September 2023 HR Compliance Deadlines</w:t>
      </w:r>
    </w:p>
    <w:p w14:paraId="54531985" w14:textId="77777777" w:rsidR="00651F4B" w:rsidRPr="00844A5C" w:rsidRDefault="00651F4B" w:rsidP="00651F4B">
      <w:pPr>
        <w:numPr>
          <w:ilvl w:val="0"/>
          <w:numId w:val="35"/>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September 29th – SAR Furnish to covered participants for calendar year plans deadline</w:t>
      </w:r>
    </w:p>
    <w:p w14:paraId="1306ECE5" w14:textId="214375BB" w:rsidR="00651F4B"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Summary Annual Report (SAR): Summarize for employees</w:t>
      </w:r>
      <w:r w:rsidR="007149A9">
        <w:rPr>
          <w:rFonts w:ascii="Arial" w:hAnsi="Arial" w:cs="Arial"/>
          <w:color w:val="393939"/>
          <w:sz w:val="20"/>
          <w:szCs w:val="32"/>
        </w:rPr>
        <w:t>,</w:t>
      </w:r>
      <w:r w:rsidRPr="00844A5C">
        <w:rPr>
          <w:rFonts w:ascii="Arial" w:hAnsi="Arial" w:cs="Arial"/>
          <w:color w:val="393939"/>
          <w:sz w:val="20"/>
          <w:szCs w:val="32"/>
        </w:rPr>
        <w:t xml:space="preserve"> information that appears in an ERISA plan’s Form 5500. Admin must furnish SARs within nine months after the end of the plan year.</w:t>
      </w:r>
    </w:p>
    <w:p w14:paraId="0BBABE0C" w14:textId="77777777" w:rsidR="00651F4B" w:rsidRDefault="00651F4B" w:rsidP="00651F4B">
      <w:pPr>
        <w:shd w:val="clear" w:color="auto" w:fill="FFFFFF"/>
        <w:jc w:val="both"/>
        <w:textAlignment w:val="baseline"/>
        <w:rPr>
          <w:rFonts w:ascii="Arial" w:hAnsi="Arial" w:cs="Arial"/>
          <w:color w:val="393939"/>
          <w:sz w:val="20"/>
          <w:szCs w:val="32"/>
        </w:rPr>
      </w:pPr>
    </w:p>
    <w:p w14:paraId="16199652" w14:textId="77777777" w:rsidR="00651F4B" w:rsidRPr="00844A5C" w:rsidRDefault="00651F4B" w:rsidP="00651F4B">
      <w:pPr>
        <w:shd w:val="clear" w:color="auto" w:fill="FFFFFF"/>
        <w:jc w:val="both"/>
        <w:textAlignment w:val="baseline"/>
        <w:rPr>
          <w:rFonts w:ascii="Arial" w:hAnsi="Arial" w:cs="Arial"/>
          <w:color w:val="393939"/>
          <w:sz w:val="20"/>
          <w:szCs w:val="32"/>
        </w:rPr>
      </w:pPr>
    </w:p>
    <w:p w14:paraId="6EA897F6"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October 2023 HR Compliance Deadlines</w:t>
      </w:r>
    </w:p>
    <w:p w14:paraId="54DA9FD8" w14:textId="77777777" w:rsidR="00651F4B" w:rsidRPr="00844A5C" w:rsidRDefault="00651F4B" w:rsidP="00651F4B">
      <w:pPr>
        <w:numPr>
          <w:ilvl w:val="0"/>
          <w:numId w:val="36"/>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October 3rd – QSEHRA Notice Deadline (for QSEHRAs that begin January 1, 2024)</w:t>
      </w:r>
    </w:p>
    <w:p w14:paraId="6232F576"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Qualified Small Employer Health Reimbursement Arrangement (QSEHRA): health cost reimbursement plan that can be offered by SMB employers.</w:t>
      </w:r>
    </w:p>
    <w:p w14:paraId="57FFA175"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For QSEHRAs that do not begin on January 1, businesses must send the notice at least 90 days before the start of each calendar year in which they’ll offer the benefit.</w:t>
      </w:r>
    </w:p>
    <w:p w14:paraId="04E1ED6F" w14:textId="77777777" w:rsidR="00651F4B" w:rsidRPr="00844A5C" w:rsidRDefault="00651F4B" w:rsidP="00651F4B">
      <w:pPr>
        <w:numPr>
          <w:ilvl w:val="0"/>
          <w:numId w:val="36"/>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October 3rd – RDS Application Due to CMS (for plan years beginning in January 1, 2024)</w:t>
      </w:r>
    </w:p>
    <w:p w14:paraId="6A5E6C53"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Retiree Drug Subsidy (RDS): One of several options available under Medicare that helps employers continue to assist Medicare-eligible retirees in obtaining more generous drug coverage.</w:t>
      </w:r>
    </w:p>
    <w:p w14:paraId="436EA46A" w14:textId="77777777" w:rsidR="00651F4B" w:rsidRPr="00844A5C"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For plans that do not begin on January 1, businesses must send the notice at least 90 days before the start of each calendar year in which they’ll offer the benefit.</w:t>
      </w:r>
    </w:p>
    <w:p w14:paraId="06A63E71" w14:textId="77777777" w:rsidR="00651F4B" w:rsidRPr="00844A5C" w:rsidRDefault="00651F4B" w:rsidP="00651F4B">
      <w:pPr>
        <w:numPr>
          <w:ilvl w:val="0"/>
          <w:numId w:val="36"/>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October 13th – Medicare Part D Notice of Creditable Coverage delivered to plan participants</w:t>
      </w:r>
    </w:p>
    <w:p w14:paraId="32B636EA" w14:textId="77777777" w:rsidR="00651F4B" w:rsidRPr="00844A5C" w:rsidRDefault="00651F4B" w:rsidP="00651F4B">
      <w:pPr>
        <w:numPr>
          <w:ilvl w:val="0"/>
          <w:numId w:val="36"/>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October 31st – Quarterly Form 941 &amp; 720 due</w:t>
      </w:r>
    </w:p>
    <w:p w14:paraId="13657BE3" w14:textId="77777777" w:rsidR="00651F4B" w:rsidRDefault="00651F4B" w:rsidP="00651F4B">
      <w:pPr>
        <w:shd w:val="clear" w:color="auto" w:fill="FFFFFF"/>
        <w:jc w:val="both"/>
        <w:textAlignment w:val="baseline"/>
        <w:rPr>
          <w:rFonts w:ascii="Arial" w:hAnsi="Arial" w:cs="Arial"/>
          <w:b/>
          <w:bCs/>
          <w:color w:val="393939"/>
          <w:sz w:val="20"/>
          <w:szCs w:val="32"/>
        </w:rPr>
      </w:pPr>
    </w:p>
    <w:p w14:paraId="374E74E1" w14:textId="77777777" w:rsidR="00651F4B" w:rsidRPr="00844A5C" w:rsidRDefault="00651F4B" w:rsidP="00651F4B">
      <w:pPr>
        <w:shd w:val="clear" w:color="auto" w:fill="FFFFFF"/>
        <w:jc w:val="both"/>
        <w:textAlignment w:val="baseline"/>
        <w:rPr>
          <w:rFonts w:ascii="Arial" w:hAnsi="Arial" w:cs="Arial"/>
          <w:color w:val="393939"/>
          <w:sz w:val="20"/>
          <w:szCs w:val="32"/>
        </w:rPr>
      </w:pPr>
    </w:p>
    <w:p w14:paraId="57E6A52B"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November 2023 HR Compliance Deadlines</w:t>
      </w:r>
    </w:p>
    <w:p w14:paraId="465B3CC3" w14:textId="77777777" w:rsidR="00651F4B" w:rsidRPr="00844A5C" w:rsidRDefault="00651F4B" w:rsidP="00651F4B">
      <w:pPr>
        <w:numPr>
          <w:ilvl w:val="0"/>
          <w:numId w:val="37"/>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November 1st – Remind employees to submit FSA Receipts before end of year</w:t>
      </w:r>
    </w:p>
    <w:p w14:paraId="3536CC06" w14:textId="77777777" w:rsidR="00651F4B" w:rsidRDefault="00651F4B" w:rsidP="00651F4B">
      <w:pPr>
        <w:numPr>
          <w:ilvl w:val="0"/>
          <w:numId w:val="29"/>
        </w:numPr>
        <w:shd w:val="clear" w:color="auto" w:fill="FFFFFF"/>
        <w:tabs>
          <w:tab w:val="clear" w:pos="720"/>
        </w:tabs>
        <w:jc w:val="both"/>
        <w:textAlignment w:val="baseline"/>
        <w:rPr>
          <w:rFonts w:ascii="Arial" w:hAnsi="Arial" w:cs="Arial"/>
          <w:color w:val="393939"/>
          <w:sz w:val="20"/>
          <w:szCs w:val="32"/>
        </w:rPr>
      </w:pPr>
      <w:r w:rsidRPr="00844A5C">
        <w:rPr>
          <w:rFonts w:ascii="Arial" w:hAnsi="Arial" w:cs="Arial"/>
          <w:color w:val="393939"/>
          <w:sz w:val="20"/>
          <w:szCs w:val="32"/>
        </w:rPr>
        <w:t>If employees incur covered expenses in their Flexible Spending Account plan year, they’ll be able to submit these for reimbursement. Send them a reminder to submit any receipts and supporting documentation as the year-end deadline approaches.</w:t>
      </w:r>
    </w:p>
    <w:p w14:paraId="123DCB17" w14:textId="77777777" w:rsidR="00651F4B" w:rsidRDefault="00651F4B" w:rsidP="00651F4B">
      <w:pPr>
        <w:shd w:val="clear" w:color="auto" w:fill="FFFFFF"/>
        <w:jc w:val="both"/>
        <w:textAlignment w:val="baseline"/>
        <w:rPr>
          <w:rFonts w:ascii="Arial" w:hAnsi="Arial" w:cs="Arial"/>
          <w:color w:val="393939"/>
          <w:sz w:val="20"/>
          <w:szCs w:val="32"/>
        </w:rPr>
      </w:pPr>
    </w:p>
    <w:p w14:paraId="67A4DAB7" w14:textId="77777777" w:rsidR="00651F4B" w:rsidRPr="00844A5C" w:rsidRDefault="00651F4B" w:rsidP="00651F4B">
      <w:pPr>
        <w:shd w:val="clear" w:color="auto" w:fill="FFFFFF"/>
        <w:jc w:val="both"/>
        <w:textAlignment w:val="baseline"/>
        <w:rPr>
          <w:rFonts w:ascii="Arial" w:hAnsi="Arial" w:cs="Arial"/>
          <w:color w:val="393939"/>
          <w:sz w:val="20"/>
          <w:szCs w:val="32"/>
        </w:rPr>
      </w:pPr>
    </w:p>
    <w:p w14:paraId="3A678283" w14:textId="77777777" w:rsidR="00651F4B" w:rsidRPr="00844A5C" w:rsidRDefault="00651F4B" w:rsidP="00651F4B">
      <w:pPr>
        <w:shd w:val="clear" w:color="auto" w:fill="FFFFFF"/>
        <w:jc w:val="both"/>
        <w:textAlignment w:val="baseline"/>
        <w:outlineLvl w:val="1"/>
        <w:rPr>
          <w:rFonts w:ascii="Arial" w:hAnsi="Arial" w:cs="Arial"/>
          <w:b/>
          <w:bCs/>
          <w:color w:val="393939"/>
          <w:sz w:val="20"/>
          <w:szCs w:val="36"/>
          <w:u w:val="single"/>
        </w:rPr>
      </w:pPr>
      <w:r w:rsidRPr="00844A5C">
        <w:rPr>
          <w:rFonts w:ascii="Arial" w:hAnsi="Arial" w:cs="Arial"/>
          <w:b/>
          <w:bCs/>
          <w:color w:val="393939"/>
          <w:sz w:val="20"/>
          <w:szCs w:val="36"/>
          <w:u w:val="single"/>
        </w:rPr>
        <w:t>December 2023 HR Compliance Deadlines</w:t>
      </w:r>
    </w:p>
    <w:p w14:paraId="3006A1E0" w14:textId="77777777" w:rsidR="00651F4B" w:rsidRPr="00844A5C" w:rsidRDefault="00651F4B" w:rsidP="00651F4B">
      <w:pPr>
        <w:numPr>
          <w:ilvl w:val="0"/>
          <w:numId w:val="38"/>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December 29th – Nondiscrimination testing, 401K plans, 125 Premium Only Plans (POP), and flexible spending account (FSA) nondiscrimination testing (if on calendar plan year)</w:t>
      </w:r>
    </w:p>
    <w:p w14:paraId="097CD064" w14:textId="77777777" w:rsidR="00651F4B" w:rsidRPr="00844A5C" w:rsidRDefault="00651F4B" w:rsidP="00651F4B">
      <w:pPr>
        <w:numPr>
          <w:ilvl w:val="0"/>
          <w:numId w:val="38"/>
        </w:numPr>
        <w:shd w:val="clear" w:color="auto" w:fill="FFFFFF"/>
        <w:tabs>
          <w:tab w:val="clear" w:pos="720"/>
        </w:tabs>
        <w:ind w:left="360"/>
        <w:jc w:val="both"/>
        <w:textAlignment w:val="baseline"/>
        <w:rPr>
          <w:rFonts w:ascii="Arial" w:hAnsi="Arial" w:cs="Arial"/>
          <w:color w:val="393939"/>
          <w:sz w:val="20"/>
          <w:szCs w:val="32"/>
        </w:rPr>
      </w:pPr>
      <w:r w:rsidRPr="00844A5C">
        <w:rPr>
          <w:rFonts w:ascii="Arial" w:hAnsi="Arial" w:cs="Arial"/>
          <w:b/>
          <w:bCs/>
          <w:color w:val="393939"/>
          <w:sz w:val="20"/>
          <w:szCs w:val="32"/>
        </w:rPr>
        <w:t>December 29th – Review employee handbooks, distribute 2024 calendar</w:t>
      </w:r>
    </w:p>
    <w:p w14:paraId="145340C8" w14:textId="77777777" w:rsidR="000419E6" w:rsidRPr="00594D38" w:rsidRDefault="00651F4B" w:rsidP="00651F4B">
      <w:pPr>
        <w:numPr>
          <w:ilvl w:val="0"/>
          <w:numId w:val="29"/>
        </w:numPr>
        <w:shd w:val="clear" w:color="auto" w:fill="FFFFFF"/>
        <w:tabs>
          <w:tab w:val="clear" w:pos="720"/>
        </w:tabs>
        <w:jc w:val="both"/>
        <w:textAlignment w:val="baseline"/>
        <w:rPr>
          <w:rFonts w:ascii="Helvetica" w:hAnsi="Helvetica" w:cs="Helvetica"/>
          <w:sz w:val="20"/>
          <w:szCs w:val="20"/>
        </w:rPr>
      </w:pPr>
      <w:r w:rsidRPr="00070775">
        <w:rPr>
          <w:rFonts w:ascii="Arial" w:hAnsi="Arial" w:cs="Arial"/>
          <w:color w:val="393939"/>
          <w:sz w:val="20"/>
          <w:szCs w:val="32"/>
        </w:rPr>
        <w:t>As a general rule of thumb, December is a great time to review annual documents to be sent to employees, like handbooks, updated workplace policies, and distribute the holiday calendar for the next year.</w:t>
      </w:r>
    </w:p>
    <w:sectPr w:rsidR="000419E6" w:rsidRPr="00594D38" w:rsidSect="00D67D66">
      <w:headerReference w:type="default" r:id="rId12"/>
      <w:pgSz w:w="12240" w:h="15840" w:code="1"/>
      <w:pgMar w:top="864" w:right="153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CE50" w14:textId="77777777" w:rsidR="00B84793" w:rsidRDefault="00B84793">
      <w:r>
        <w:separator/>
      </w:r>
    </w:p>
  </w:endnote>
  <w:endnote w:type="continuationSeparator" w:id="0">
    <w:p w14:paraId="4853937A" w14:textId="77777777" w:rsidR="00B84793" w:rsidRDefault="00B8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BB8A" w14:textId="5A26193B" w:rsidR="00126A9A" w:rsidRPr="00126A9A" w:rsidRDefault="007149A9" w:rsidP="006C56FF">
    <w:pPr>
      <w:pStyle w:val="Footer"/>
      <w:tabs>
        <w:tab w:val="clear" w:pos="8640"/>
        <w:tab w:val="right" w:pos="9270"/>
      </w:tabs>
      <w:spacing w:before="6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34671BB2" wp14:editId="3C2B09DC">
              <wp:simplePos x="0" y="0"/>
              <wp:positionH relativeFrom="column">
                <wp:posOffset>-7620</wp:posOffset>
              </wp:positionH>
              <wp:positionV relativeFrom="paragraph">
                <wp:posOffset>-20320</wp:posOffset>
              </wp:positionV>
              <wp:extent cx="5928360" cy="7620"/>
              <wp:effectExtent l="20955" t="17780" r="1333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8360" cy="762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AF86F" id="_x0000_t32" coordsize="21600,21600" o:spt="32" o:oned="t" path="m,l21600,21600e" filled="f">
              <v:path arrowok="t" fillok="f" o:connecttype="none"/>
              <o:lock v:ext="edit" shapetype="t"/>
            </v:shapetype>
            <v:shape id="AutoShape 10" o:spid="_x0000_s1026" type="#_x0000_t32" style="position:absolute;margin-left:-.6pt;margin-top:-1.6pt;width:466.8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" strokecolor="#068828" strokeweight="2pt"/>
          </w:pict>
        </mc:Fallback>
      </mc:AlternateContent>
    </w:r>
    <w:r w:rsidR="00A47E9C">
      <w:rPr>
        <w:rFonts w:ascii="Arial" w:hAnsi="Arial" w:cs="Arial"/>
        <w:sz w:val="16"/>
        <w:szCs w:val="16"/>
      </w:rPr>
      <w:t>1</w:t>
    </w:r>
    <w:r w:rsidR="00126A9A" w:rsidRPr="00126A9A">
      <w:rPr>
        <w:rFonts w:ascii="Arial" w:hAnsi="Arial" w:cs="Arial"/>
        <w:sz w:val="16"/>
        <w:szCs w:val="16"/>
      </w:rPr>
      <w:t>-</w:t>
    </w:r>
    <w:r w:rsidR="00A47E9C">
      <w:rPr>
        <w:rFonts w:ascii="Arial" w:hAnsi="Arial" w:cs="Arial"/>
        <w:sz w:val="16"/>
        <w:szCs w:val="16"/>
      </w:rPr>
      <w:t>1</w:t>
    </w:r>
    <w:r w:rsidR="00126A9A" w:rsidRPr="00126A9A">
      <w:rPr>
        <w:rFonts w:ascii="Arial" w:hAnsi="Arial" w:cs="Arial"/>
        <w:sz w:val="16"/>
        <w:szCs w:val="16"/>
      </w:rPr>
      <w:t>-20</w:t>
    </w:r>
    <w:r w:rsidR="005F2426">
      <w:rPr>
        <w:rFonts w:ascii="Arial" w:hAnsi="Arial" w:cs="Arial"/>
        <w:sz w:val="16"/>
        <w:szCs w:val="16"/>
      </w:rPr>
      <w:t>2</w:t>
    </w:r>
    <w:r w:rsidR="00A47E9C">
      <w:rPr>
        <w:rFonts w:ascii="Arial" w:hAnsi="Arial" w:cs="Arial"/>
        <w:sz w:val="16"/>
        <w:szCs w:val="16"/>
      </w:rPr>
      <w:t>3</w:t>
    </w:r>
    <w:r w:rsidR="00126A9A" w:rsidRPr="00126A9A">
      <w:rPr>
        <w:rFonts w:ascii="Arial" w:hAnsi="Arial" w:cs="Arial"/>
        <w:sz w:val="16"/>
        <w:szCs w:val="16"/>
      </w:rPr>
      <w:t xml:space="preserve"> </w:t>
    </w:r>
    <w:r w:rsidR="00126A9A">
      <w:rPr>
        <w:rFonts w:ascii="Arial" w:hAnsi="Arial" w:cs="Arial"/>
        <w:sz w:val="16"/>
        <w:szCs w:val="16"/>
      </w:rPr>
      <w:tab/>
    </w:r>
    <w:r w:rsidR="00126A9A">
      <w:rPr>
        <w:rFonts w:ascii="Arial" w:hAnsi="Arial" w:cs="Arial"/>
        <w:sz w:val="16"/>
        <w:szCs w:val="16"/>
      </w:rPr>
      <w:tab/>
    </w:r>
    <w:r w:rsidR="00126A9A" w:rsidRPr="00126A9A">
      <w:rPr>
        <w:rFonts w:ascii="Arial" w:hAnsi="Arial" w:cs="Arial"/>
        <w:sz w:val="16"/>
        <w:szCs w:val="16"/>
      </w:rPr>
      <w:t xml:space="preserve">Page </w:t>
    </w:r>
    <w:r w:rsidR="00126A9A" w:rsidRPr="00126A9A">
      <w:rPr>
        <w:rFonts w:ascii="Arial" w:hAnsi="Arial" w:cs="Arial"/>
        <w:sz w:val="16"/>
        <w:szCs w:val="16"/>
      </w:rPr>
      <w:fldChar w:fldCharType="begin"/>
    </w:r>
    <w:r w:rsidR="00126A9A" w:rsidRPr="00126A9A">
      <w:rPr>
        <w:rFonts w:ascii="Arial" w:hAnsi="Arial" w:cs="Arial"/>
        <w:sz w:val="16"/>
        <w:szCs w:val="16"/>
      </w:rPr>
      <w:instrText xml:space="preserve"> PAGE   \* MERGEFORMAT </w:instrText>
    </w:r>
    <w:r w:rsidR="00126A9A" w:rsidRPr="00126A9A">
      <w:rPr>
        <w:rFonts w:ascii="Arial" w:hAnsi="Arial" w:cs="Arial"/>
        <w:sz w:val="16"/>
        <w:szCs w:val="16"/>
      </w:rPr>
      <w:fldChar w:fldCharType="separate"/>
    </w:r>
    <w:r w:rsidR="00741EDD">
      <w:rPr>
        <w:rFonts w:ascii="Arial" w:hAnsi="Arial" w:cs="Arial"/>
        <w:noProof/>
        <w:sz w:val="16"/>
        <w:szCs w:val="16"/>
      </w:rPr>
      <w:t>1</w:t>
    </w:r>
    <w:r w:rsidR="00126A9A" w:rsidRPr="00126A9A">
      <w:rPr>
        <w:rFonts w:ascii="Arial" w:hAnsi="Arial" w:cs="Arial"/>
        <w:noProof/>
        <w:sz w:val="16"/>
        <w:szCs w:val="16"/>
      </w:rPr>
      <w:fldChar w:fldCharType="end"/>
    </w:r>
    <w:r w:rsidR="00126A9A" w:rsidRPr="00126A9A">
      <w:rPr>
        <w:rFonts w:ascii="Arial" w:hAnsi="Arial" w:cs="Arial"/>
        <w:noProof/>
        <w:sz w:val="16"/>
        <w:szCs w:val="16"/>
      </w:rPr>
      <w:t xml:space="preserve"> of </w:t>
    </w:r>
    <w:r w:rsidR="00651F4B">
      <w:rPr>
        <w:rFonts w:ascii="Arial" w:hAnsi="Arial" w:cs="Arial"/>
        <w:noProof/>
        <w:sz w:val="16"/>
        <w:szCs w:val="16"/>
      </w:rPr>
      <w:t>3</w:t>
    </w:r>
  </w:p>
  <w:p w14:paraId="40106FEE" w14:textId="77777777" w:rsidR="0085299A" w:rsidRPr="00CB244F" w:rsidRDefault="0085299A" w:rsidP="00CB244F">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E7B8" w14:textId="77777777" w:rsidR="00B84793" w:rsidRDefault="00B84793">
      <w:r>
        <w:separator/>
      </w:r>
    </w:p>
  </w:footnote>
  <w:footnote w:type="continuationSeparator" w:id="0">
    <w:p w14:paraId="51DE1F5A" w14:textId="77777777" w:rsidR="00B84793" w:rsidRDefault="00B8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EE10" w14:textId="1F8153BE" w:rsidR="00DE2E73" w:rsidRPr="00DE2E73" w:rsidRDefault="007149A9" w:rsidP="009C198C">
    <w:pPr>
      <w:pStyle w:val="Header"/>
      <w:tabs>
        <w:tab w:val="clear" w:pos="4320"/>
        <w:tab w:val="clear" w:pos="8640"/>
      </w:tabs>
      <w:rPr>
        <w:rFonts w:ascii="Century Gothic" w:hAnsi="Century Gothic"/>
        <w:noProof/>
      </w:rPr>
    </w:pPr>
    <w:r>
      <w:rPr>
        <w:rFonts w:ascii="Century Gothic" w:hAnsi="Century Gothic"/>
        <w:noProof/>
      </w:rPr>
      <mc:AlternateContent>
        <mc:Choice Requires="wps">
          <w:drawing>
            <wp:anchor distT="0" distB="0" distL="114300" distR="114300" simplePos="0" relativeHeight="251658240" behindDoc="0" locked="0" layoutInCell="1" allowOverlap="1" wp14:anchorId="44B02423" wp14:editId="69313313">
              <wp:simplePos x="0" y="0"/>
              <wp:positionH relativeFrom="column">
                <wp:posOffset>-45720</wp:posOffset>
              </wp:positionH>
              <wp:positionV relativeFrom="paragraph">
                <wp:posOffset>577215</wp:posOffset>
              </wp:positionV>
              <wp:extent cx="5890260" cy="0"/>
              <wp:effectExtent l="20955" t="15240" r="13335" b="133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21E1B" id="_x0000_t32" coordsize="21600,21600" o:spt="32" o:oned="t" path="m,l21600,21600e" filled="f">
              <v:path arrowok="t" fillok="f" o:connecttype="none"/>
              <o:lock v:ext="edit" shapetype="t"/>
            </v:shapetype>
            <v:shape id="AutoShape 14" o:spid="_x0000_s1026" type="#_x0000_t32" style="position:absolute;margin-left:-3.6pt;margin-top:45.45pt;width:46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" strokecolor="#068828"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E9A7" w14:textId="77777777" w:rsidR="009942FC" w:rsidRPr="003608D5" w:rsidRDefault="009942FC" w:rsidP="00D67D66">
    <w:pPr>
      <w:pStyle w:val="Header"/>
      <w:tabs>
        <w:tab w:val="clear" w:pos="4320"/>
        <w:tab w:val="clear" w:pos="8640"/>
      </w:tabs>
      <w:rPr>
        <w:rFonts w:ascii="Century Gothic" w:hAnsi="Century Gothic"/>
      </w:rPr>
    </w:pPr>
    <w:r>
      <w:rPr>
        <w:rFonts w:ascii="Century Gothic" w:hAnsi="Century Gothic"/>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094"/>
    <w:multiLevelType w:val="hybridMultilevel"/>
    <w:tmpl w:val="6BD6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45F1"/>
    <w:multiLevelType w:val="multilevel"/>
    <w:tmpl w:val="BDF0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76ACA"/>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914"/>
    <w:multiLevelType w:val="hybridMultilevel"/>
    <w:tmpl w:val="04AA4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E5C77"/>
    <w:multiLevelType w:val="hybridMultilevel"/>
    <w:tmpl w:val="BCCA0C96"/>
    <w:lvl w:ilvl="0" w:tplc="80B63A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777D5"/>
    <w:multiLevelType w:val="multilevel"/>
    <w:tmpl w:val="E9F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EB6E74"/>
    <w:multiLevelType w:val="hybridMultilevel"/>
    <w:tmpl w:val="37A2D5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34D4A"/>
    <w:multiLevelType w:val="multilevel"/>
    <w:tmpl w:val="2618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3496F"/>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B22AD"/>
    <w:multiLevelType w:val="multilevel"/>
    <w:tmpl w:val="B5A88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F62516"/>
    <w:multiLevelType w:val="multilevel"/>
    <w:tmpl w:val="E6E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1673CE"/>
    <w:multiLevelType w:val="multilevel"/>
    <w:tmpl w:val="0C40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E275D7"/>
    <w:multiLevelType w:val="multilevel"/>
    <w:tmpl w:val="4656D766"/>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12783"/>
    <w:multiLevelType w:val="multilevel"/>
    <w:tmpl w:val="891C777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C228EC"/>
    <w:multiLevelType w:val="multilevel"/>
    <w:tmpl w:val="4EE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860CF4"/>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E61D4"/>
    <w:multiLevelType w:val="hybridMultilevel"/>
    <w:tmpl w:val="4E9AB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72671"/>
    <w:multiLevelType w:val="multilevel"/>
    <w:tmpl w:val="08F63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F07264"/>
    <w:multiLevelType w:val="multilevel"/>
    <w:tmpl w:val="801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B973FE"/>
    <w:multiLevelType w:val="hybridMultilevel"/>
    <w:tmpl w:val="F72CE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254FB"/>
    <w:multiLevelType w:val="multilevel"/>
    <w:tmpl w:val="AF0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7625D5"/>
    <w:multiLevelType w:val="hybridMultilevel"/>
    <w:tmpl w:val="145E989E"/>
    <w:lvl w:ilvl="0" w:tplc="5A527798">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D4AA2"/>
    <w:multiLevelType w:val="hybridMultilevel"/>
    <w:tmpl w:val="FC9E0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F21E9"/>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734BB"/>
    <w:multiLevelType w:val="hybridMultilevel"/>
    <w:tmpl w:val="CE7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13E80"/>
    <w:multiLevelType w:val="hybridMultilevel"/>
    <w:tmpl w:val="5AE69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F7F1F"/>
    <w:multiLevelType w:val="hybridMultilevel"/>
    <w:tmpl w:val="5B148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D70C5"/>
    <w:multiLevelType w:val="hybridMultilevel"/>
    <w:tmpl w:val="BCCA0C96"/>
    <w:lvl w:ilvl="0" w:tplc="80B63A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27698"/>
    <w:multiLevelType w:val="multilevel"/>
    <w:tmpl w:val="0F4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056212"/>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45AEA"/>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B0C48"/>
    <w:multiLevelType w:val="hybridMultilevel"/>
    <w:tmpl w:val="E9D2BD04"/>
    <w:lvl w:ilvl="0" w:tplc="5C6056AA">
      <w:start w:val="1"/>
      <w:numFmt w:val="bullet"/>
      <w:lvlText w:val="­"/>
      <w:lvlJc w:val="left"/>
      <w:pPr>
        <w:ind w:left="720" w:hanging="360"/>
      </w:pPr>
      <w:rPr>
        <w:rFonts w:ascii="Courier New" w:hAnsi="Courier New"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35274"/>
    <w:multiLevelType w:val="hybridMultilevel"/>
    <w:tmpl w:val="E79277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E3FD7"/>
    <w:multiLevelType w:val="multilevel"/>
    <w:tmpl w:val="DF34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E46E52"/>
    <w:multiLevelType w:val="hybridMultilevel"/>
    <w:tmpl w:val="FE0255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60773"/>
    <w:multiLevelType w:val="hybridMultilevel"/>
    <w:tmpl w:val="CE7C2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43F61"/>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7798D"/>
    <w:multiLevelType w:val="hybridMultilevel"/>
    <w:tmpl w:val="836E718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717372">
    <w:abstractNumId w:val="31"/>
  </w:num>
  <w:num w:numId="2" w16cid:durableId="525683293">
    <w:abstractNumId w:val="29"/>
  </w:num>
  <w:num w:numId="3" w16cid:durableId="469051889">
    <w:abstractNumId w:val="21"/>
  </w:num>
  <w:num w:numId="4" w16cid:durableId="919100298">
    <w:abstractNumId w:val="2"/>
  </w:num>
  <w:num w:numId="5" w16cid:durableId="2019964123">
    <w:abstractNumId w:val="23"/>
  </w:num>
  <w:num w:numId="6" w16cid:durableId="106628707">
    <w:abstractNumId w:val="15"/>
  </w:num>
  <w:num w:numId="7" w16cid:durableId="977950397">
    <w:abstractNumId w:val="37"/>
  </w:num>
  <w:num w:numId="8" w16cid:durableId="1291589954">
    <w:abstractNumId w:val="36"/>
  </w:num>
  <w:num w:numId="9" w16cid:durableId="950745500">
    <w:abstractNumId w:val="8"/>
  </w:num>
  <w:num w:numId="10" w16cid:durableId="1169712441">
    <w:abstractNumId w:val="30"/>
  </w:num>
  <w:num w:numId="11" w16cid:durableId="2043435417">
    <w:abstractNumId w:val="0"/>
  </w:num>
  <w:num w:numId="12" w16cid:durableId="28798882">
    <w:abstractNumId w:val="25"/>
  </w:num>
  <w:num w:numId="13" w16cid:durableId="1913662555">
    <w:abstractNumId w:val="32"/>
  </w:num>
  <w:num w:numId="14" w16cid:durableId="1681155909">
    <w:abstractNumId w:val="16"/>
  </w:num>
  <w:num w:numId="15" w16cid:durableId="217862896">
    <w:abstractNumId w:val="22"/>
  </w:num>
  <w:num w:numId="16" w16cid:durableId="2140224194">
    <w:abstractNumId w:val="34"/>
  </w:num>
  <w:num w:numId="17" w16cid:durableId="1863977003">
    <w:abstractNumId w:val="6"/>
  </w:num>
  <w:num w:numId="18" w16cid:durableId="32730780">
    <w:abstractNumId w:val="26"/>
  </w:num>
  <w:num w:numId="19" w16cid:durableId="341053072">
    <w:abstractNumId w:val="19"/>
  </w:num>
  <w:num w:numId="20" w16cid:durableId="1315332825">
    <w:abstractNumId w:val="3"/>
  </w:num>
  <w:num w:numId="21" w16cid:durableId="2050647186">
    <w:abstractNumId w:val="35"/>
  </w:num>
  <w:num w:numId="22" w16cid:durableId="305278781">
    <w:abstractNumId w:val="24"/>
  </w:num>
  <w:num w:numId="23" w16cid:durableId="1735198852">
    <w:abstractNumId w:val="27"/>
  </w:num>
  <w:num w:numId="24" w16cid:durableId="1878464967">
    <w:abstractNumId w:val="4"/>
  </w:num>
  <w:num w:numId="25" w16cid:durableId="326136120">
    <w:abstractNumId w:val="9"/>
  </w:num>
  <w:num w:numId="26" w16cid:durableId="1125588437">
    <w:abstractNumId w:val="33"/>
  </w:num>
  <w:num w:numId="27" w16cid:durableId="833570463">
    <w:abstractNumId w:val="28"/>
  </w:num>
  <w:num w:numId="28" w16cid:durableId="98526469">
    <w:abstractNumId w:val="12"/>
  </w:num>
  <w:num w:numId="29" w16cid:durableId="954020406">
    <w:abstractNumId w:val="13"/>
  </w:num>
  <w:num w:numId="30" w16cid:durableId="223683089">
    <w:abstractNumId w:val="14"/>
  </w:num>
  <w:num w:numId="31" w16cid:durableId="675153695">
    <w:abstractNumId w:val="10"/>
  </w:num>
  <w:num w:numId="32" w16cid:durableId="1647854220">
    <w:abstractNumId w:val="1"/>
  </w:num>
  <w:num w:numId="33" w16cid:durableId="685130597">
    <w:abstractNumId w:val="11"/>
  </w:num>
  <w:num w:numId="34" w16cid:durableId="1155486727">
    <w:abstractNumId w:val="20"/>
  </w:num>
  <w:num w:numId="35" w16cid:durableId="1427262848">
    <w:abstractNumId w:val="18"/>
  </w:num>
  <w:num w:numId="36" w16cid:durableId="1746418179">
    <w:abstractNumId w:val="5"/>
  </w:num>
  <w:num w:numId="37" w16cid:durableId="1437871312">
    <w:abstractNumId w:val="17"/>
  </w:num>
  <w:num w:numId="38" w16cid:durableId="18568471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3D"/>
    <w:rsid w:val="00001E25"/>
    <w:rsid w:val="00025FC3"/>
    <w:rsid w:val="00026616"/>
    <w:rsid w:val="00033DE0"/>
    <w:rsid w:val="00037710"/>
    <w:rsid w:val="000419E6"/>
    <w:rsid w:val="0004392F"/>
    <w:rsid w:val="00053EDA"/>
    <w:rsid w:val="0005485E"/>
    <w:rsid w:val="00062403"/>
    <w:rsid w:val="00064688"/>
    <w:rsid w:val="0006784A"/>
    <w:rsid w:val="00067BAD"/>
    <w:rsid w:val="00071868"/>
    <w:rsid w:val="00073D48"/>
    <w:rsid w:val="00074E11"/>
    <w:rsid w:val="00074FF6"/>
    <w:rsid w:val="00080983"/>
    <w:rsid w:val="000854CB"/>
    <w:rsid w:val="000969BC"/>
    <w:rsid w:val="000B5F97"/>
    <w:rsid w:val="000C686D"/>
    <w:rsid w:val="000D6303"/>
    <w:rsid w:val="000E38B0"/>
    <w:rsid w:val="000F1814"/>
    <w:rsid w:val="000F5318"/>
    <w:rsid w:val="00107045"/>
    <w:rsid w:val="00116B84"/>
    <w:rsid w:val="00122980"/>
    <w:rsid w:val="00126A9A"/>
    <w:rsid w:val="00130DF8"/>
    <w:rsid w:val="0013788E"/>
    <w:rsid w:val="001425AD"/>
    <w:rsid w:val="001617F5"/>
    <w:rsid w:val="00162ECE"/>
    <w:rsid w:val="00163A73"/>
    <w:rsid w:val="00170356"/>
    <w:rsid w:val="001709C5"/>
    <w:rsid w:val="00171EA4"/>
    <w:rsid w:val="0017677A"/>
    <w:rsid w:val="001832D0"/>
    <w:rsid w:val="001837B0"/>
    <w:rsid w:val="001972AB"/>
    <w:rsid w:val="001A2F94"/>
    <w:rsid w:val="001A381D"/>
    <w:rsid w:val="001A7BBA"/>
    <w:rsid w:val="001B4C0B"/>
    <w:rsid w:val="001B5B96"/>
    <w:rsid w:val="001B7B42"/>
    <w:rsid w:val="001E2399"/>
    <w:rsid w:val="002022FC"/>
    <w:rsid w:val="00204626"/>
    <w:rsid w:val="00226E2D"/>
    <w:rsid w:val="00226F6A"/>
    <w:rsid w:val="00227408"/>
    <w:rsid w:val="00231ECE"/>
    <w:rsid w:val="002371DC"/>
    <w:rsid w:val="00246317"/>
    <w:rsid w:val="00251482"/>
    <w:rsid w:val="0025390C"/>
    <w:rsid w:val="002556F0"/>
    <w:rsid w:val="00265C47"/>
    <w:rsid w:val="0029332F"/>
    <w:rsid w:val="00296B21"/>
    <w:rsid w:val="002A0169"/>
    <w:rsid w:val="002A4D3D"/>
    <w:rsid w:val="002A69C2"/>
    <w:rsid w:val="002B7019"/>
    <w:rsid w:val="002C0058"/>
    <w:rsid w:val="002C5267"/>
    <w:rsid w:val="002E14A8"/>
    <w:rsid w:val="002E33F7"/>
    <w:rsid w:val="002E5ED9"/>
    <w:rsid w:val="002E6452"/>
    <w:rsid w:val="002F3BDF"/>
    <w:rsid w:val="002F6657"/>
    <w:rsid w:val="00304380"/>
    <w:rsid w:val="00310289"/>
    <w:rsid w:val="00327474"/>
    <w:rsid w:val="00327B9E"/>
    <w:rsid w:val="00337726"/>
    <w:rsid w:val="00354198"/>
    <w:rsid w:val="003608D5"/>
    <w:rsid w:val="00360D5C"/>
    <w:rsid w:val="00371336"/>
    <w:rsid w:val="003858D4"/>
    <w:rsid w:val="003915E4"/>
    <w:rsid w:val="003A0EA0"/>
    <w:rsid w:val="003A4E0E"/>
    <w:rsid w:val="003B6727"/>
    <w:rsid w:val="003B6E76"/>
    <w:rsid w:val="003C21DA"/>
    <w:rsid w:val="003C6727"/>
    <w:rsid w:val="003E588C"/>
    <w:rsid w:val="003E6C41"/>
    <w:rsid w:val="003E747D"/>
    <w:rsid w:val="003F0CE9"/>
    <w:rsid w:val="0040574B"/>
    <w:rsid w:val="00405C21"/>
    <w:rsid w:val="00413DDC"/>
    <w:rsid w:val="00415AEF"/>
    <w:rsid w:val="00421CC9"/>
    <w:rsid w:val="004244F5"/>
    <w:rsid w:val="00430EB6"/>
    <w:rsid w:val="00435C8C"/>
    <w:rsid w:val="00452B0E"/>
    <w:rsid w:val="00454E9D"/>
    <w:rsid w:val="004626E5"/>
    <w:rsid w:val="00462C71"/>
    <w:rsid w:val="00465497"/>
    <w:rsid w:val="00472177"/>
    <w:rsid w:val="00475216"/>
    <w:rsid w:val="00487D52"/>
    <w:rsid w:val="00487F2B"/>
    <w:rsid w:val="0049269A"/>
    <w:rsid w:val="00496049"/>
    <w:rsid w:val="004A08FD"/>
    <w:rsid w:val="004B111E"/>
    <w:rsid w:val="004C1830"/>
    <w:rsid w:val="004C4535"/>
    <w:rsid w:val="004C63E6"/>
    <w:rsid w:val="004C74AD"/>
    <w:rsid w:val="004C7971"/>
    <w:rsid w:val="004D1B98"/>
    <w:rsid w:val="004D550A"/>
    <w:rsid w:val="004D5647"/>
    <w:rsid w:val="00501DC7"/>
    <w:rsid w:val="005112DF"/>
    <w:rsid w:val="0051141D"/>
    <w:rsid w:val="00513607"/>
    <w:rsid w:val="00516249"/>
    <w:rsid w:val="0051703A"/>
    <w:rsid w:val="00517081"/>
    <w:rsid w:val="005173D6"/>
    <w:rsid w:val="00521C71"/>
    <w:rsid w:val="005427B2"/>
    <w:rsid w:val="00543442"/>
    <w:rsid w:val="00553E24"/>
    <w:rsid w:val="005604A1"/>
    <w:rsid w:val="00564CF1"/>
    <w:rsid w:val="00565924"/>
    <w:rsid w:val="00566F7A"/>
    <w:rsid w:val="00581E3C"/>
    <w:rsid w:val="005867A2"/>
    <w:rsid w:val="00587FA2"/>
    <w:rsid w:val="00593135"/>
    <w:rsid w:val="00594A67"/>
    <w:rsid w:val="005A0183"/>
    <w:rsid w:val="005A15BC"/>
    <w:rsid w:val="005A54AB"/>
    <w:rsid w:val="005B5B46"/>
    <w:rsid w:val="005D37DC"/>
    <w:rsid w:val="005D3AE8"/>
    <w:rsid w:val="005E39FA"/>
    <w:rsid w:val="005E3A53"/>
    <w:rsid w:val="005F2426"/>
    <w:rsid w:val="006059A7"/>
    <w:rsid w:val="00610059"/>
    <w:rsid w:val="006314A0"/>
    <w:rsid w:val="00640DA0"/>
    <w:rsid w:val="00651F4B"/>
    <w:rsid w:val="006707A9"/>
    <w:rsid w:val="006823C3"/>
    <w:rsid w:val="00682C0F"/>
    <w:rsid w:val="00687E6C"/>
    <w:rsid w:val="00695EB8"/>
    <w:rsid w:val="006A0543"/>
    <w:rsid w:val="006A21BE"/>
    <w:rsid w:val="006B128E"/>
    <w:rsid w:val="006C45C3"/>
    <w:rsid w:val="006C56FF"/>
    <w:rsid w:val="006D21B2"/>
    <w:rsid w:val="006E0EDA"/>
    <w:rsid w:val="006E17B0"/>
    <w:rsid w:val="006E4B37"/>
    <w:rsid w:val="0070472D"/>
    <w:rsid w:val="00707B2F"/>
    <w:rsid w:val="007113C0"/>
    <w:rsid w:val="0071172E"/>
    <w:rsid w:val="007149A9"/>
    <w:rsid w:val="00716F5C"/>
    <w:rsid w:val="007330AA"/>
    <w:rsid w:val="0073685E"/>
    <w:rsid w:val="00740E5C"/>
    <w:rsid w:val="00741EDD"/>
    <w:rsid w:val="00747AC9"/>
    <w:rsid w:val="00752417"/>
    <w:rsid w:val="00763337"/>
    <w:rsid w:val="00765333"/>
    <w:rsid w:val="0077151D"/>
    <w:rsid w:val="00771D5D"/>
    <w:rsid w:val="007739AA"/>
    <w:rsid w:val="00774CB8"/>
    <w:rsid w:val="00794811"/>
    <w:rsid w:val="00796305"/>
    <w:rsid w:val="007A203C"/>
    <w:rsid w:val="007A2385"/>
    <w:rsid w:val="007A5740"/>
    <w:rsid w:val="007C3563"/>
    <w:rsid w:val="007C6DA8"/>
    <w:rsid w:val="007D3333"/>
    <w:rsid w:val="007D4739"/>
    <w:rsid w:val="007D62EF"/>
    <w:rsid w:val="007E050A"/>
    <w:rsid w:val="007E0AF4"/>
    <w:rsid w:val="007E1110"/>
    <w:rsid w:val="007F13F9"/>
    <w:rsid w:val="008011EE"/>
    <w:rsid w:val="00803770"/>
    <w:rsid w:val="00815E95"/>
    <w:rsid w:val="008160DC"/>
    <w:rsid w:val="008203FA"/>
    <w:rsid w:val="00825C38"/>
    <w:rsid w:val="00830DD2"/>
    <w:rsid w:val="00831B2B"/>
    <w:rsid w:val="00834072"/>
    <w:rsid w:val="00851E54"/>
    <w:rsid w:val="0085299A"/>
    <w:rsid w:val="00853F1E"/>
    <w:rsid w:val="00854861"/>
    <w:rsid w:val="00864C84"/>
    <w:rsid w:val="0088304F"/>
    <w:rsid w:val="00885A86"/>
    <w:rsid w:val="00893F1E"/>
    <w:rsid w:val="00894032"/>
    <w:rsid w:val="008948C3"/>
    <w:rsid w:val="008956C5"/>
    <w:rsid w:val="008A4652"/>
    <w:rsid w:val="008A7458"/>
    <w:rsid w:val="008C1FCD"/>
    <w:rsid w:val="008C48CC"/>
    <w:rsid w:val="008C649D"/>
    <w:rsid w:val="008C725F"/>
    <w:rsid w:val="008C7EAC"/>
    <w:rsid w:val="008D36F6"/>
    <w:rsid w:val="008D4A62"/>
    <w:rsid w:val="008F7D9B"/>
    <w:rsid w:val="00906419"/>
    <w:rsid w:val="00920B1D"/>
    <w:rsid w:val="009233B2"/>
    <w:rsid w:val="00923CDE"/>
    <w:rsid w:val="00932966"/>
    <w:rsid w:val="00932B28"/>
    <w:rsid w:val="009422C6"/>
    <w:rsid w:val="009430AE"/>
    <w:rsid w:val="009502E3"/>
    <w:rsid w:val="009558E4"/>
    <w:rsid w:val="009568E3"/>
    <w:rsid w:val="00956FDC"/>
    <w:rsid w:val="00961EE2"/>
    <w:rsid w:val="009630F3"/>
    <w:rsid w:val="00964120"/>
    <w:rsid w:val="00973D62"/>
    <w:rsid w:val="00977FB5"/>
    <w:rsid w:val="009942FC"/>
    <w:rsid w:val="009A2D7E"/>
    <w:rsid w:val="009A6D36"/>
    <w:rsid w:val="009B5942"/>
    <w:rsid w:val="009C0545"/>
    <w:rsid w:val="009C087C"/>
    <w:rsid w:val="009C0D34"/>
    <w:rsid w:val="009C198C"/>
    <w:rsid w:val="009D0F44"/>
    <w:rsid w:val="009D5000"/>
    <w:rsid w:val="009E0F66"/>
    <w:rsid w:val="009E79A5"/>
    <w:rsid w:val="009F3EFD"/>
    <w:rsid w:val="00A02BA6"/>
    <w:rsid w:val="00A05303"/>
    <w:rsid w:val="00A14061"/>
    <w:rsid w:val="00A20A61"/>
    <w:rsid w:val="00A23169"/>
    <w:rsid w:val="00A24205"/>
    <w:rsid w:val="00A27798"/>
    <w:rsid w:val="00A37119"/>
    <w:rsid w:val="00A40C63"/>
    <w:rsid w:val="00A43DB7"/>
    <w:rsid w:val="00A4463D"/>
    <w:rsid w:val="00A448B4"/>
    <w:rsid w:val="00A47DD1"/>
    <w:rsid w:val="00A47E9C"/>
    <w:rsid w:val="00A64DBD"/>
    <w:rsid w:val="00A65590"/>
    <w:rsid w:val="00A67B97"/>
    <w:rsid w:val="00A710E3"/>
    <w:rsid w:val="00A7778C"/>
    <w:rsid w:val="00A902C9"/>
    <w:rsid w:val="00A91DC1"/>
    <w:rsid w:val="00A92984"/>
    <w:rsid w:val="00A93143"/>
    <w:rsid w:val="00AA310A"/>
    <w:rsid w:val="00AA468C"/>
    <w:rsid w:val="00AA4EF2"/>
    <w:rsid w:val="00AA7EC4"/>
    <w:rsid w:val="00AB069E"/>
    <w:rsid w:val="00AB423E"/>
    <w:rsid w:val="00AB4A00"/>
    <w:rsid w:val="00AC7210"/>
    <w:rsid w:val="00AF7A64"/>
    <w:rsid w:val="00B02435"/>
    <w:rsid w:val="00B0376D"/>
    <w:rsid w:val="00B07E35"/>
    <w:rsid w:val="00B1187B"/>
    <w:rsid w:val="00B2391B"/>
    <w:rsid w:val="00B3368F"/>
    <w:rsid w:val="00B34153"/>
    <w:rsid w:val="00B36DC7"/>
    <w:rsid w:val="00B45570"/>
    <w:rsid w:val="00B50994"/>
    <w:rsid w:val="00B52408"/>
    <w:rsid w:val="00B55990"/>
    <w:rsid w:val="00B56EDC"/>
    <w:rsid w:val="00B570F6"/>
    <w:rsid w:val="00B662D3"/>
    <w:rsid w:val="00B776CD"/>
    <w:rsid w:val="00B84793"/>
    <w:rsid w:val="00B84C9C"/>
    <w:rsid w:val="00B965C6"/>
    <w:rsid w:val="00B96E1F"/>
    <w:rsid w:val="00BA74A8"/>
    <w:rsid w:val="00BC603A"/>
    <w:rsid w:val="00BD12CF"/>
    <w:rsid w:val="00BD6A85"/>
    <w:rsid w:val="00BE07EB"/>
    <w:rsid w:val="00BE1865"/>
    <w:rsid w:val="00BE64F5"/>
    <w:rsid w:val="00BF54F6"/>
    <w:rsid w:val="00BF73EF"/>
    <w:rsid w:val="00C018B6"/>
    <w:rsid w:val="00C0361B"/>
    <w:rsid w:val="00C1695C"/>
    <w:rsid w:val="00C35C2E"/>
    <w:rsid w:val="00C42B9A"/>
    <w:rsid w:val="00C45577"/>
    <w:rsid w:val="00C46F5F"/>
    <w:rsid w:val="00C55602"/>
    <w:rsid w:val="00C64BCE"/>
    <w:rsid w:val="00C71FF7"/>
    <w:rsid w:val="00C72203"/>
    <w:rsid w:val="00C739B1"/>
    <w:rsid w:val="00C7422D"/>
    <w:rsid w:val="00C75690"/>
    <w:rsid w:val="00C928AF"/>
    <w:rsid w:val="00C97A24"/>
    <w:rsid w:val="00CA440A"/>
    <w:rsid w:val="00CA51FF"/>
    <w:rsid w:val="00CB244F"/>
    <w:rsid w:val="00CB3199"/>
    <w:rsid w:val="00CB523D"/>
    <w:rsid w:val="00CC1C53"/>
    <w:rsid w:val="00CC580D"/>
    <w:rsid w:val="00CC5CD3"/>
    <w:rsid w:val="00CD1547"/>
    <w:rsid w:val="00CD3174"/>
    <w:rsid w:val="00CD736F"/>
    <w:rsid w:val="00CE1A7F"/>
    <w:rsid w:val="00CE3B12"/>
    <w:rsid w:val="00CF190F"/>
    <w:rsid w:val="00D0362E"/>
    <w:rsid w:val="00D03A61"/>
    <w:rsid w:val="00D05FE0"/>
    <w:rsid w:val="00D06696"/>
    <w:rsid w:val="00D11131"/>
    <w:rsid w:val="00D15CF6"/>
    <w:rsid w:val="00D24848"/>
    <w:rsid w:val="00D25032"/>
    <w:rsid w:val="00D260BC"/>
    <w:rsid w:val="00D30534"/>
    <w:rsid w:val="00D37984"/>
    <w:rsid w:val="00D37CFF"/>
    <w:rsid w:val="00D430E4"/>
    <w:rsid w:val="00D51CEC"/>
    <w:rsid w:val="00D54B2A"/>
    <w:rsid w:val="00D67D66"/>
    <w:rsid w:val="00D70F73"/>
    <w:rsid w:val="00D80D84"/>
    <w:rsid w:val="00D87587"/>
    <w:rsid w:val="00D92608"/>
    <w:rsid w:val="00DA2120"/>
    <w:rsid w:val="00DA6645"/>
    <w:rsid w:val="00DA7CC0"/>
    <w:rsid w:val="00DB6EB1"/>
    <w:rsid w:val="00DB700F"/>
    <w:rsid w:val="00DB7845"/>
    <w:rsid w:val="00DD2D4D"/>
    <w:rsid w:val="00DE05D2"/>
    <w:rsid w:val="00DE18B3"/>
    <w:rsid w:val="00DE1E45"/>
    <w:rsid w:val="00DE2E73"/>
    <w:rsid w:val="00DE3178"/>
    <w:rsid w:val="00DF05BA"/>
    <w:rsid w:val="00DF20B3"/>
    <w:rsid w:val="00E00AB5"/>
    <w:rsid w:val="00E010FB"/>
    <w:rsid w:val="00E130CD"/>
    <w:rsid w:val="00E1398B"/>
    <w:rsid w:val="00E15A03"/>
    <w:rsid w:val="00E16DCB"/>
    <w:rsid w:val="00E17879"/>
    <w:rsid w:val="00E217AB"/>
    <w:rsid w:val="00E24B3E"/>
    <w:rsid w:val="00E25D25"/>
    <w:rsid w:val="00E30AC0"/>
    <w:rsid w:val="00E45326"/>
    <w:rsid w:val="00E4547D"/>
    <w:rsid w:val="00E47CE1"/>
    <w:rsid w:val="00E64BDF"/>
    <w:rsid w:val="00E8089C"/>
    <w:rsid w:val="00E84FCC"/>
    <w:rsid w:val="00E91E78"/>
    <w:rsid w:val="00EA42D2"/>
    <w:rsid w:val="00EB773F"/>
    <w:rsid w:val="00ED0D0C"/>
    <w:rsid w:val="00ED4B9B"/>
    <w:rsid w:val="00ED604D"/>
    <w:rsid w:val="00ED7E7F"/>
    <w:rsid w:val="00EE4654"/>
    <w:rsid w:val="00EE4967"/>
    <w:rsid w:val="00EF424F"/>
    <w:rsid w:val="00EF5875"/>
    <w:rsid w:val="00F06F8C"/>
    <w:rsid w:val="00F169C2"/>
    <w:rsid w:val="00F3024D"/>
    <w:rsid w:val="00F42AEE"/>
    <w:rsid w:val="00F5577E"/>
    <w:rsid w:val="00F6061B"/>
    <w:rsid w:val="00F77613"/>
    <w:rsid w:val="00F808C2"/>
    <w:rsid w:val="00F832B7"/>
    <w:rsid w:val="00F94FC2"/>
    <w:rsid w:val="00FB2DE7"/>
    <w:rsid w:val="00FB7CE2"/>
    <w:rsid w:val="00FC381E"/>
    <w:rsid w:val="00FC516A"/>
    <w:rsid w:val="00FD290F"/>
    <w:rsid w:val="00FD709F"/>
    <w:rsid w:val="00FE168D"/>
    <w:rsid w:val="00FE1D77"/>
    <w:rsid w:val="00FE2F82"/>
    <w:rsid w:val="00FE6D9E"/>
    <w:rsid w:val="00FF2F95"/>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A4CF8"/>
  <w15:chartTrackingRefBased/>
  <w15:docId w15:val="{68CDA0D7-E83F-4E31-B633-67EF447F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7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92984"/>
    <w:rPr>
      <w:rFonts w:ascii="Tahoma" w:hAnsi="Tahoma" w:cs="Tahoma"/>
      <w:sz w:val="16"/>
      <w:szCs w:val="16"/>
    </w:rPr>
  </w:style>
  <w:style w:type="paragraph" w:styleId="Header">
    <w:name w:val="header"/>
    <w:basedOn w:val="Normal"/>
    <w:link w:val="HeaderChar"/>
    <w:uiPriority w:val="99"/>
    <w:rsid w:val="00CE3B12"/>
    <w:pPr>
      <w:tabs>
        <w:tab w:val="center" w:pos="4320"/>
        <w:tab w:val="right" w:pos="8640"/>
      </w:tabs>
    </w:pPr>
  </w:style>
  <w:style w:type="paragraph" w:styleId="Footer">
    <w:name w:val="footer"/>
    <w:basedOn w:val="Normal"/>
    <w:link w:val="FooterChar"/>
    <w:uiPriority w:val="99"/>
    <w:rsid w:val="00CE3B12"/>
    <w:pPr>
      <w:tabs>
        <w:tab w:val="center" w:pos="4320"/>
        <w:tab w:val="right" w:pos="8640"/>
      </w:tabs>
    </w:pPr>
  </w:style>
  <w:style w:type="character" w:customStyle="1" w:styleId="HeaderChar">
    <w:name w:val="Header Char"/>
    <w:link w:val="Header"/>
    <w:uiPriority w:val="99"/>
    <w:rsid w:val="00CB244F"/>
    <w:rPr>
      <w:sz w:val="24"/>
      <w:szCs w:val="24"/>
    </w:rPr>
  </w:style>
  <w:style w:type="character" w:customStyle="1" w:styleId="FooterChar">
    <w:name w:val="Footer Char"/>
    <w:link w:val="Footer"/>
    <w:uiPriority w:val="99"/>
    <w:rsid w:val="00CB244F"/>
    <w:rPr>
      <w:sz w:val="24"/>
      <w:szCs w:val="24"/>
    </w:rPr>
  </w:style>
  <w:style w:type="paragraph" w:styleId="ListParagraph">
    <w:name w:val="List Paragraph"/>
    <w:basedOn w:val="Normal"/>
    <w:uiPriority w:val="34"/>
    <w:qFormat/>
    <w:rsid w:val="000D6303"/>
    <w:pPr>
      <w:ind w:left="720"/>
    </w:pPr>
  </w:style>
  <w:style w:type="paragraph" w:styleId="NormalWeb">
    <w:name w:val="Normal (Web)"/>
    <w:basedOn w:val="Normal"/>
    <w:uiPriority w:val="99"/>
    <w:rsid w:val="00752417"/>
    <w:pPr>
      <w:spacing w:before="100" w:beforeAutospacing="1" w:after="100" w:afterAutospacing="1"/>
    </w:pPr>
  </w:style>
  <w:style w:type="paragraph" w:customStyle="1" w:styleId="Default">
    <w:name w:val="Default"/>
    <w:rsid w:val="00A902C9"/>
    <w:pPr>
      <w:autoSpaceDE w:val="0"/>
      <w:autoSpaceDN w:val="0"/>
      <w:adjustRightInd w:val="0"/>
    </w:pPr>
    <w:rPr>
      <w:color w:val="000000"/>
      <w:sz w:val="24"/>
      <w:szCs w:val="24"/>
    </w:rPr>
  </w:style>
  <w:style w:type="character" w:customStyle="1" w:styleId="mediumtext1">
    <w:name w:val="medium_text1"/>
    <w:rsid w:val="00BA74A8"/>
    <w:rPr>
      <w:sz w:val="19"/>
      <w:szCs w:val="19"/>
    </w:rPr>
  </w:style>
  <w:style w:type="paragraph" w:styleId="BodyText2">
    <w:name w:val="Body Text 2"/>
    <w:basedOn w:val="Normal"/>
    <w:link w:val="BodyText2Char"/>
    <w:rsid w:val="00796305"/>
    <w:rPr>
      <w:sz w:val="20"/>
      <w:szCs w:val="20"/>
    </w:rPr>
  </w:style>
  <w:style w:type="character" w:customStyle="1" w:styleId="BodyText2Char">
    <w:name w:val="Body Text 2 Char"/>
    <w:basedOn w:val="DefaultParagraphFont"/>
    <w:link w:val="BodyText2"/>
    <w:rsid w:val="00796305"/>
  </w:style>
  <w:style w:type="paragraph" w:styleId="BodyText">
    <w:name w:val="Body Text"/>
    <w:basedOn w:val="Normal"/>
    <w:link w:val="BodyTextChar"/>
    <w:rsid w:val="009B5942"/>
    <w:pPr>
      <w:spacing w:after="120"/>
    </w:pPr>
  </w:style>
  <w:style w:type="character" w:customStyle="1" w:styleId="BodyTextChar">
    <w:name w:val="Body Text Char"/>
    <w:link w:val="BodyText"/>
    <w:rsid w:val="009B5942"/>
    <w:rPr>
      <w:sz w:val="24"/>
      <w:szCs w:val="24"/>
    </w:rPr>
  </w:style>
  <w:style w:type="character" w:customStyle="1" w:styleId="shorttext1">
    <w:name w:val="short_text1"/>
    <w:rsid w:val="00B776CD"/>
    <w:rPr>
      <w:sz w:val="23"/>
      <w:szCs w:val="23"/>
    </w:rPr>
  </w:style>
  <w:style w:type="table" w:styleId="TableGrid">
    <w:name w:val="Table Grid"/>
    <w:basedOn w:val="TableNormal"/>
    <w:rsid w:val="00B0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co.io/blog/hrs-guide-to-the-federal-unemployment-tax-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co.io/blog/what-is-form-2553/"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42E9-1C9B-4963-A56E-7A07D749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Critical Environments, Inc.                                                                                   Corporate Policies</vt:lpstr>
    </vt:vector>
  </TitlesOfParts>
  <Company>Bemus Landscape</Company>
  <LinksUpToDate>false</LinksUpToDate>
  <CharactersWithSpaces>8231</CharactersWithSpaces>
  <SharedDoc>false</SharedDoc>
  <HLinks>
    <vt:vector size="12" baseType="variant">
      <vt:variant>
        <vt:i4>7471226</vt:i4>
      </vt:variant>
      <vt:variant>
        <vt:i4>3</vt:i4>
      </vt:variant>
      <vt:variant>
        <vt:i4>0</vt:i4>
      </vt:variant>
      <vt:variant>
        <vt:i4>5</vt:i4>
      </vt:variant>
      <vt:variant>
        <vt:lpwstr>https://www.goco.io/blog/what-is-form-2553/</vt:lpwstr>
      </vt:variant>
      <vt:variant>
        <vt:lpwstr/>
      </vt:variant>
      <vt:variant>
        <vt:i4>3866664</vt:i4>
      </vt:variant>
      <vt:variant>
        <vt:i4>0</vt:i4>
      </vt:variant>
      <vt:variant>
        <vt:i4>0</vt:i4>
      </vt:variant>
      <vt:variant>
        <vt:i4>5</vt:i4>
      </vt:variant>
      <vt:variant>
        <vt:lpwstr>https://www.goco.io/blog/hrs-guide-to-the-federal-unemployment-tax-act/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Environments, Inc.                                                                                   Corporate Policies</dc:title>
  <dc:subject/>
  <dc:creator>JimC</dc:creator>
  <cp:keywords/>
  <cp:lastModifiedBy>Steve Cesare</cp:lastModifiedBy>
  <cp:revision>2</cp:revision>
  <cp:lastPrinted>2023-01-21T22:32:00Z</cp:lastPrinted>
  <dcterms:created xsi:type="dcterms:W3CDTF">2023-01-22T00:07:00Z</dcterms:created>
  <dcterms:modified xsi:type="dcterms:W3CDTF">2023-01-22T00:07:00Z</dcterms:modified>
</cp:coreProperties>
</file>